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eastAsia="黑体" w:cs="宋体"/>
          <w:color w:val="000000"/>
          <w:sz w:val="32"/>
          <w:szCs w:val="32"/>
        </w:rPr>
      </w:pPr>
      <w:r>
        <w:rPr>
          <w:rFonts w:hint="eastAsia" w:eastAsia="黑体" w:cs="宋体"/>
          <w:color w:val="000000"/>
          <w:sz w:val="32"/>
          <w:szCs w:val="32"/>
        </w:rPr>
        <w:t xml:space="preserve">附件1               </w:t>
      </w:r>
    </w:p>
    <w:p>
      <w:pPr>
        <w:spacing w:line="400" w:lineRule="exact"/>
        <w:jc w:val="center"/>
        <w:rPr>
          <w:rFonts w:hint="eastAsia" w:cs="宋体"/>
          <w:b/>
          <w:color w:val="000000"/>
          <w:sz w:val="32"/>
          <w:szCs w:val="32"/>
        </w:rPr>
      </w:pPr>
      <w:r>
        <w:rPr>
          <w:rFonts w:hint="eastAsia" w:hAnsi="宋体" w:cs="宋体"/>
          <w:b/>
          <w:color w:val="000000"/>
          <w:sz w:val="32"/>
          <w:szCs w:val="32"/>
        </w:rPr>
        <w:t>项目绩效表</w:t>
      </w:r>
    </w:p>
    <w:tbl>
      <w:tblPr>
        <w:tblStyle w:val="3"/>
        <w:tblpPr w:leftFromText="180" w:rightFromText="180" w:vertAnchor="page" w:horzAnchor="page" w:tblpX="1008" w:tblpY="2390"/>
        <w:tblW w:w="100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"/>
        <w:gridCol w:w="255"/>
        <w:gridCol w:w="585"/>
        <w:gridCol w:w="426"/>
        <w:gridCol w:w="1700"/>
        <w:gridCol w:w="351"/>
        <w:gridCol w:w="503"/>
        <w:gridCol w:w="987"/>
        <w:gridCol w:w="567"/>
        <w:gridCol w:w="1700"/>
        <w:gridCol w:w="245"/>
        <w:gridCol w:w="39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项目名称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left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强塘工程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主管部门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val="en-US" w:eastAsia="zh-CN"/>
              </w:rPr>
              <w:t>玉环市农业农村和水利局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（盖章）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实施单位</w:t>
            </w:r>
          </w:p>
        </w:tc>
        <w:tc>
          <w:tcPr>
            <w:tcW w:w="3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hAnsi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val="en-US" w:eastAsia="zh-CN"/>
              </w:rPr>
              <w:t>玉环市海塘服务中心（盖章）</w:t>
            </w:r>
          </w:p>
          <w:p>
            <w:pPr>
              <w:jc w:val="left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val="en-US" w:eastAsia="zh-CN"/>
              </w:rPr>
              <w:t>玉环市水库服务中心（盖章）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联系人员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left"/>
              <w:rPr>
                <w:kern w:val="2"/>
                <w:sz w:val="18"/>
                <w:szCs w:val="18"/>
              </w:rPr>
            </w:pPr>
            <w:r>
              <w:rPr>
                <w:rFonts w:hint="eastAsia" w:ascii="Calibri" w:hAnsi="Calibri"/>
                <w:kern w:val="2"/>
                <w:szCs w:val="22"/>
                <w:lang w:val="en-US" w:eastAsia="zh-CN"/>
              </w:rPr>
              <w:t>曾海英、陈继斌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联系号码</w:t>
            </w:r>
          </w:p>
        </w:tc>
        <w:tc>
          <w:tcPr>
            <w:tcW w:w="3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left"/>
              <w:rPr>
                <w:kern w:val="2"/>
                <w:sz w:val="18"/>
                <w:szCs w:val="18"/>
              </w:rPr>
            </w:pPr>
            <w:r>
              <w:rPr>
                <w:rFonts w:hint="eastAsia" w:ascii="Calibri" w:hAnsi="Calibri"/>
                <w:kern w:val="2"/>
              </w:rPr>
              <w:t>13566853131</w:t>
            </w:r>
            <w:r>
              <w:rPr>
                <w:rFonts w:hint="eastAsia" w:ascii="Calibri" w:hAnsi="Calibri"/>
                <w:kern w:val="2"/>
                <w:lang w:eastAsia="zh-CN"/>
              </w:rPr>
              <w:t>、</w:t>
            </w:r>
            <w:r>
              <w:rPr>
                <w:rFonts w:hint="eastAsia" w:ascii="Calibri" w:hAnsi="Calibri"/>
                <w:kern w:val="2"/>
                <w:lang w:val="en-US" w:eastAsia="zh-CN"/>
              </w:rPr>
              <w:t>13967682108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项目属性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延续</w:t>
            </w:r>
            <w:r>
              <w:rPr>
                <w:rFonts w:hint="eastAsia" w:cs="宋体"/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kern w:val="2"/>
                <w:sz w:val="18"/>
                <w:szCs w:val="18"/>
              </w:rPr>
              <w:sym w:font="Wingdings 2" w:char="0052"/>
            </w:r>
            <w:r>
              <w:rPr>
                <w:rFonts w:hint="eastAsia" w:cs="宋体"/>
                <w:color w:val="000000"/>
                <w:kern w:val="2"/>
                <w:sz w:val="18"/>
                <w:szCs w:val="18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新建</w:t>
            </w:r>
            <w:r>
              <w:rPr>
                <w:rFonts w:hint="eastAsia" w:cs="宋体"/>
                <w:color w:val="000000"/>
                <w:kern w:val="2"/>
                <w:sz w:val="18"/>
                <w:szCs w:val="18"/>
              </w:rPr>
              <w:t xml:space="preserve"> □    经常性 □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项目起止时间</w:t>
            </w:r>
          </w:p>
        </w:tc>
        <w:tc>
          <w:tcPr>
            <w:tcW w:w="3176" w:type="dxa"/>
            <w:gridSpan w:val="4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left"/>
              <w:rPr>
                <w:rFonts w:hint="default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2019.1.1—2019.12.31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项目资金</w:t>
            </w:r>
          </w:p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（万元）</w:t>
            </w:r>
          </w:p>
        </w:tc>
        <w:tc>
          <w:tcPr>
            <w:tcW w:w="33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年初预算数（万元）</w:t>
            </w:r>
          </w:p>
        </w:tc>
        <w:tc>
          <w:tcPr>
            <w:tcW w:w="1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全年执行数（万元）</w:t>
            </w:r>
          </w:p>
        </w:tc>
        <w:tc>
          <w:tcPr>
            <w:tcW w:w="12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执行率（</w:t>
            </w:r>
            <w:r>
              <w:rPr>
                <w:rFonts w:hint="eastAsia" w:cs="宋体"/>
                <w:color w:val="000000"/>
                <w:kern w:val="2"/>
                <w:sz w:val="18"/>
                <w:szCs w:val="18"/>
              </w:rPr>
              <w:t>%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3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年度资金总额：</w:t>
            </w:r>
          </w:p>
        </w:tc>
        <w:tc>
          <w:tcPr>
            <w:tcW w:w="20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left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800</w:t>
            </w:r>
          </w:p>
        </w:tc>
        <w:tc>
          <w:tcPr>
            <w:tcW w:w="1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left"/>
              <w:rPr>
                <w:rFonts w:hint="default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3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其中：本年一般公共预算</w:t>
            </w:r>
          </w:p>
        </w:tc>
        <w:tc>
          <w:tcPr>
            <w:tcW w:w="20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left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800</w:t>
            </w:r>
          </w:p>
        </w:tc>
        <w:tc>
          <w:tcPr>
            <w:tcW w:w="1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left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3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其他资金</w:t>
            </w:r>
          </w:p>
        </w:tc>
        <w:tc>
          <w:tcPr>
            <w:tcW w:w="20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立项依据</w:t>
            </w:r>
          </w:p>
        </w:tc>
        <w:tc>
          <w:tcPr>
            <w:tcW w:w="25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295" w:type="dxa"/>
            <w:gridSpan w:val="11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left"/>
              <w:rPr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根据玉环县水利发展“十三五”规划、《浙江省小型水库运行管理规程》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eastAsia="zh-CN"/>
              </w:rPr>
              <w:t>、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《浙江省山塘管理规程》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eastAsia="zh-CN"/>
              </w:rPr>
              <w:t>、《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val="en-US" w:eastAsia="zh-CN"/>
              </w:rPr>
              <w:t>浙江省海塘工程运行管理规程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eastAsia="zh-CN"/>
              </w:rPr>
              <w:t>》、《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val="en-US" w:eastAsia="zh-CN"/>
              </w:rPr>
              <w:t>浙江省海塘建设管理条例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eastAsia="zh-CN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年初绩效目标设定情况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实际目标完成情况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目标完成率（</w:t>
            </w:r>
            <w:r>
              <w:rPr>
                <w:rFonts w:hint="eastAsia" w:cs="宋体"/>
                <w:color w:val="000000"/>
                <w:kern w:val="2"/>
                <w:sz w:val="18"/>
                <w:szCs w:val="18"/>
              </w:rPr>
              <w:t>%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djustRightInd/>
              <w:jc w:val="left"/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1.消除工程安全隐患，保障水利工程安全运行。</w:t>
            </w:r>
          </w:p>
          <w:p>
            <w:pPr>
              <w:overflowPunct/>
              <w:autoSpaceDE/>
              <w:adjustRightInd/>
              <w:jc w:val="left"/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2.为供水和灌溉提供有效保障，同时结合防洪任务确保下游人民的生命财产安全。3.提高薄弱水利工程等级，更好发挥水利工程效益。</w:t>
            </w: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djustRightInd/>
              <w:jc w:val="left"/>
              <w:rPr>
                <w:rFonts w:hint="eastAsia" w:hAnsi="宋体" w:eastAsia="宋体" w:cs="宋体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eastAsia="zh-CN"/>
              </w:rPr>
              <w:t>完成垟岭水库除险加固工程，完成福杨山塘除险加固工程，完成横坑山塘除险加固工程，完成山后山塘除险加固工程，完成刘园山塘除险加固工程，完成北岙山塘除险加固工程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。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  <w:t>完成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玉环县解放南闸改造工程完工验收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鹭鸶礁海塘除险加固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val="en-US" w:eastAsia="zh-CN"/>
              </w:rPr>
              <w:t>工程，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芦蒲西塘应急度汛工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长屿闸改造工程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长屿塘除险加固工程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黄门防浪堤维修加固工程</w:t>
            </w: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djustRightInd/>
              <w:jc w:val="left"/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color w:val="000000"/>
                <w:kern w:val="2"/>
                <w:sz w:val="18"/>
                <w:szCs w:val="18"/>
              </w:rPr>
              <w:t>项目预算绩效管理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一级指标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二级指标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三级指标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打分权重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目标完成情况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实际得分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产出指标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数量指标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 w:cs="宋体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val="en-US" w:eastAsia="zh-CN"/>
              </w:rPr>
              <w:t>各乡镇根据山塘水库、海塘水闸实际情况提出除险加固计划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djustRightInd/>
              <w:jc w:val="center"/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25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  <w:lang w:eastAsia="zh-CN"/>
              </w:rPr>
              <w:t>完成</w:t>
            </w:r>
            <w:r>
              <w:rPr>
                <w:rFonts w:hint="eastAsia" w:cs="宋体"/>
                <w:color w:val="000000"/>
                <w:kern w:val="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kern w:val="2"/>
                <w:sz w:val="18"/>
                <w:szCs w:val="18"/>
                <w:lang w:eastAsia="zh-CN"/>
              </w:rPr>
              <w:t>座水库</w:t>
            </w:r>
            <w:r>
              <w:rPr>
                <w:rFonts w:hint="eastAsia" w:cs="宋体"/>
                <w:color w:val="000000"/>
                <w:kern w:val="2"/>
                <w:sz w:val="18"/>
                <w:szCs w:val="18"/>
                <w:lang w:val="en-US" w:eastAsia="zh-CN"/>
              </w:rPr>
              <w:t>5座山塘2座</w:t>
            </w:r>
            <w:r>
              <w:rPr>
                <w:rFonts w:hint="eastAsia" w:cs="宋体"/>
                <w:color w:val="000000"/>
                <w:kern w:val="2"/>
                <w:sz w:val="18"/>
                <w:szCs w:val="18"/>
                <w:lang w:eastAsia="zh-CN"/>
              </w:rPr>
              <w:t>除险加固，</w:t>
            </w:r>
            <w:r>
              <w:rPr>
                <w:rFonts w:hint="eastAsia" w:cs="宋体"/>
                <w:color w:val="000000"/>
                <w:kern w:val="2"/>
                <w:sz w:val="18"/>
                <w:szCs w:val="18"/>
                <w:lang w:val="en-US" w:eastAsia="zh-CN"/>
              </w:rPr>
              <w:t>加固水闸2座，海塘4条。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产出指标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质量指标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  <w:lang w:val="en-US" w:eastAsia="zh-CN"/>
              </w:rPr>
              <w:t>项目实施完成后是否达到预期的效果。达到：25分；基本达到：18分；未达到：0分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djustRightInd/>
              <w:jc w:val="center"/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25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  <w:lang w:val="en-US" w:eastAsia="zh-CN"/>
              </w:rPr>
              <w:t>项目达到预期质量目标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效益指标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社会效益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  <w:lang w:val="en-US" w:eastAsia="zh-CN"/>
              </w:rPr>
              <w:t>通过除险加固，消除山塘水库、海塘水闸安全隐患，切实提高防灾减灾能力，保障山塘水库、海塘水闸安全运行，并发挥山塘水库的供水及农业灌溉的效益、海塘水闸保障人民群众生命财产安全。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djustRightInd/>
              <w:jc w:val="center"/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20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</w:rPr>
              <w:t>达到预期社会效益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满意度指标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满意度指标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根据群众问卷调查统计结果，社会群众对本项目的总体满意度。问卷调查：90%（含）以上：30分；80-90%（含70%）：25分；70-80%（70%）：20分；60-70%（60%）：10分；60%以下：0分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djustRightInd/>
              <w:jc w:val="center"/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30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</w:rPr>
              <w:t>满意度97%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自评结果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合计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</w:rPr>
              <w:t>100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</w:rPr>
              <w:t>****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  <w:lang w:val="en-US" w:eastAsia="zh-CN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评价补充信息</w:t>
            </w:r>
          </w:p>
        </w:tc>
        <w:tc>
          <w:tcPr>
            <w:tcW w:w="7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eastAsia="宋体" w:cs="宋体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2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2"/>
                <w:sz w:val="18"/>
                <w:szCs w:val="18"/>
              </w:rPr>
              <w:t>存在的问题和相关建议</w:t>
            </w:r>
          </w:p>
        </w:tc>
        <w:tc>
          <w:tcPr>
            <w:tcW w:w="7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left"/>
              <w:rPr>
                <w:rFonts w:hint="eastAsia" w:eastAsia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eastAsia="zh-CN"/>
              </w:rPr>
              <w:t>无</w:t>
            </w:r>
            <w:bookmarkStart w:id="0" w:name="_GoBack"/>
            <w:bookmarkEnd w:id="0"/>
          </w:p>
        </w:tc>
      </w:tr>
    </w:tbl>
    <w:p/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评价人员：</w:t>
      </w:r>
      <w:r>
        <w:rPr>
          <w:rFonts w:hint="eastAsia"/>
          <w:lang w:val="en-US" w:eastAsia="zh-CN"/>
        </w:rPr>
        <w:t>陈继斌、曾海英 陈海斌</w:t>
      </w:r>
      <w:r>
        <w:t xml:space="preserve">   </w:t>
      </w:r>
      <w:r>
        <w:rPr>
          <w:rFonts w:hint="eastAsia"/>
        </w:rPr>
        <w:t>负责人：</w:t>
      </w:r>
      <w:r>
        <w:rPr>
          <w:rFonts w:hint="eastAsia"/>
          <w:lang w:val="en-US" w:eastAsia="zh-CN"/>
        </w:rPr>
        <w:t>陈孝德</w:t>
      </w:r>
      <w:r>
        <w:t xml:space="preserve">       </w:t>
      </w:r>
      <w:r>
        <w:rPr>
          <w:rFonts w:hint="eastAsia"/>
        </w:rPr>
        <w:t>填报日期：</w:t>
      </w:r>
      <w:r>
        <w:rPr>
          <w:rFonts w:hint="eastAsia"/>
          <w:lang w:val="en-US" w:eastAsia="zh-CN"/>
        </w:rPr>
        <w:t>2020年5月29日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0BC9"/>
    <w:rsid w:val="114A0BC9"/>
    <w:rsid w:val="1BD276E9"/>
    <w:rsid w:val="2F2E72F5"/>
    <w:rsid w:val="31CE6063"/>
    <w:rsid w:val="3DDA3FAB"/>
    <w:rsid w:val="48BD3720"/>
    <w:rsid w:val="53366580"/>
    <w:rsid w:val="7E0C1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5">
    <w:name w:val="page number"/>
    <w:basedOn w:val="4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2020-05-25T01:40:00Z</dcterms:created>
  <dc:creator>破境黎明</dc:creator>
  <cp:lastModifiedBy>Admin</cp:lastModifiedBy>
  <dcterms:modified xsi:type="dcterms:W3CDTF">2020-06-29T08:12:47Z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