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pageBreakBefore w:val="0"/>
        <w:widowControl/>
        <w:kinsoku/>
        <w:wordWrap/>
        <w:overflowPunct/>
        <w:topLinePunct w:val="0"/>
        <w:autoSpaceDE/>
        <w:autoSpaceDN/>
        <w:bidi w:val="0"/>
        <w:adjustRightInd w:val="0"/>
        <w:snapToGrid w:val="0"/>
        <w:spacing w:before="0" w:after="0" w:line="500" w:lineRule="exact"/>
        <w:ind w:firstLine="562" w:firstLineChars="200"/>
        <w:jc w:val="left"/>
        <w:textAlignment w:val="auto"/>
        <w:outlineLvl w:val="3"/>
        <w:rPr>
          <w:rFonts w:hint="eastAsia" w:ascii="仿宋" w:hAnsi="仿宋" w:eastAsia="仿宋"/>
          <w:b/>
          <w:bCs w:val="0"/>
          <w:sz w:val="28"/>
          <w:szCs w:val="28"/>
        </w:rPr>
      </w:pPr>
      <w:r>
        <w:rPr>
          <w:rFonts w:hint="eastAsia" w:ascii="仿宋" w:hAnsi="仿宋" w:eastAsia="仿宋"/>
          <w:b/>
          <w:bCs w:val="0"/>
          <w:sz w:val="28"/>
          <w:szCs w:val="28"/>
        </w:rPr>
        <w:t>（一）</w:t>
      </w:r>
      <w:bookmarkStart w:id="0" w:name="_GoBack"/>
      <w:r>
        <w:rPr>
          <w:rFonts w:hint="eastAsia" w:ascii="仿宋" w:hAnsi="仿宋" w:eastAsia="仿宋"/>
          <w:b/>
          <w:bCs w:val="0"/>
          <w:sz w:val="28"/>
          <w:szCs w:val="28"/>
        </w:rPr>
        <w:t>基准地价内涵界定</w:t>
      </w:r>
      <w:bookmarkEnd w:id="0"/>
    </w:p>
    <w:p>
      <w:pPr>
        <w:adjustRightInd w:val="0"/>
        <w:snapToGrid w:val="0"/>
        <w:spacing w:line="500" w:lineRule="exact"/>
        <w:ind w:firstLine="560" w:firstLineChars="200"/>
        <w:rPr>
          <w:rFonts w:hint="eastAsia" w:ascii="仿宋" w:hAnsi="仿宋" w:eastAsia="仿宋" w:cs="宋体"/>
          <w:sz w:val="28"/>
          <w:szCs w:val="28"/>
        </w:rPr>
      </w:pPr>
      <w:r>
        <w:rPr>
          <w:rFonts w:hint="eastAsia" w:ascii="仿宋" w:hAnsi="仿宋" w:eastAsia="仿宋" w:cs="宋体"/>
          <w:sz w:val="28"/>
          <w:szCs w:val="28"/>
        </w:rPr>
        <w:t>根据</w:t>
      </w:r>
      <w:r>
        <w:rPr>
          <w:rFonts w:ascii="仿宋" w:hAnsi="仿宋" w:eastAsia="仿宋" w:cs="宋体"/>
          <w:sz w:val="28"/>
          <w:szCs w:val="28"/>
        </w:rPr>
        <w:t>《城镇土地估价规程》（GB/T18508-2014 ）</w:t>
      </w:r>
      <w:r>
        <w:rPr>
          <w:rFonts w:hint="eastAsia" w:ascii="仿宋" w:hAnsi="仿宋" w:eastAsia="仿宋" w:cs="宋体"/>
          <w:sz w:val="28"/>
          <w:szCs w:val="28"/>
        </w:rPr>
        <w:t>和《关于进一步规范浙江省基准地价更新管理的实施意见》（浙土资办[2014]107号）的规定，基准地价是政府定期制定公布的各土地利用类型现状条件下评估的某一估价期日法定最高年期土地使用权区域平均价格，是土地使用权法定年期未来纯收益的现值总和。根据玉环市土地市场及土地利用管理的实际，结合原基准地价成果应用情况，界定本次玉环市基准地价的具体内涵如下：</w:t>
      </w:r>
    </w:p>
    <w:p>
      <w:pPr>
        <w:adjustRightInd w:val="0"/>
        <w:snapToGrid w:val="0"/>
        <w:spacing w:line="500" w:lineRule="exact"/>
        <w:ind w:firstLine="560" w:firstLineChars="200"/>
        <w:rPr>
          <w:rFonts w:hint="eastAsia" w:ascii="仿宋" w:hAnsi="仿宋" w:eastAsia="仿宋" w:cs="宋体"/>
          <w:sz w:val="28"/>
          <w:szCs w:val="28"/>
        </w:rPr>
      </w:pPr>
      <w:r>
        <w:rPr>
          <w:rFonts w:hint="eastAsia" w:ascii="仿宋" w:hAnsi="仿宋" w:eastAsia="仿宋" w:cs="宋体"/>
          <w:sz w:val="28"/>
          <w:szCs w:val="28"/>
        </w:rPr>
        <w:t>1、基准地价更新的基准日：2019年01月01日。</w:t>
      </w:r>
    </w:p>
    <w:p>
      <w:pPr>
        <w:adjustRightInd w:val="0"/>
        <w:snapToGrid w:val="0"/>
        <w:spacing w:line="500" w:lineRule="exact"/>
        <w:ind w:firstLine="560" w:firstLineChars="200"/>
        <w:rPr>
          <w:rFonts w:hint="eastAsia" w:ascii="仿宋" w:hAnsi="仿宋" w:eastAsia="仿宋" w:cs="宋体"/>
          <w:sz w:val="28"/>
          <w:szCs w:val="28"/>
        </w:rPr>
      </w:pPr>
      <w:r>
        <w:rPr>
          <w:rFonts w:hint="eastAsia" w:ascii="仿宋" w:hAnsi="仿宋" w:eastAsia="仿宋" w:cs="宋体"/>
          <w:sz w:val="28"/>
          <w:szCs w:val="28"/>
        </w:rPr>
        <w:t>2、土地开发程度:按熟地界定,即达到大市政基础设施配套的“五通一平”要求（宗地红线外通路、通电、通上水、通下水、通讯，宗地红线内土地平整，下同）；</w:t>
      </w:r>
    </w:p>
    <w:p>
      <w:pPr>
        <w:adjustRightInd w:val="0"/>
        <w:snapToGrid w:val="0"/>
        <w:spacing w:line="500" w:lineRule="exact"/>
        <w:ind w:firstLine="560" w:firstLineChars="200"/>
        <w:rPr>
          <w:rFonts w:hint="eastAsia" w:ascii="仿宋" w:hAnsi="仿宋" w:eastAsia="仿宋" w:cs="宋体"/>
          <w:sz w:val="28"/>
          <w:szCs w:val="28"/>
        </w:rPr>
      </w:pPr>
      <w:r>
        <w:rPr>
          <w:rFonts w:hint="eastAsia" w:ascii="仿宋" w:hAnsi="仿宋" w:eastAsia="仿宋" w:cs="宋体"/>
          <w:sz w:val="28"/>
          <w:szCs w:val="28"/>
        </w:rPr>
        <w:t>3、土地权利类型:出让土地使用权。</w:t>
      </w:r>
    </w:p>
    <w:p>
      <w:pPr>
        <w:adjustRightInd w:val="0"/>
        <w:snapToGrid w:val="0"/>
        <w:spacing w:line="500" w:lineRule="exact"/>
        <w:ind w:firstLine="560" w:firstLineChars="200"/>
        <w:rPr>
          <w:rFonts w:hint="eastAsia" w:ascii="仿宋" w:hAnsi="仿宋" w:eastAsia="仿宋" w:cs="宋体"/>
          <w:sz w:val="28"/>
          <w:szCs w:val="28"/>
        </w:rPr>
      </w:pPr>
      <w:r>
        <w:rPr>
          <w:rFonts w:hint="eastAsia" w:ascii="仿宋" w:hAnsi="仿宋" w:eastAsia="仿宋" w:cs="宋体"/>
          <w:sz w:val="28"/>
          <w:szCs w:val="28"/>
        </w:rPr>
        <w:t>4、土地使用年限:为法定最高土地出让年期（即商服用地40年，住宅用地70年，工矿仓储用地50年，公共管理与公共服务用地50年，交通运输用地50年，特殊用地50年）。</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26731A"/>
    <w:rsid w:val="102673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4"/>
    <w:basedOn w:val="1"/>
    <w:next w:val="1"/>
    <w:qFormat/>
    <w:uiPriority w:val="0"/>
    <w:pPr>
      <w:keepNext/>
      <w:keepLines/>
      <w:spacing w:before="280" w:beforeLines="0" w:after="290" w:afterLines="0" w:line="376" w:lineRule="auto"/>
      <w:outlineLvl w:val="3"/>
    </w:pPr>
    <w:rPr>
      <w:rFonts w:ascii="Arial" w:hAnsi="Arial" w:eastAsia="黑体"/>
      <w:b/>
      <w:bCs/>
      <w:sz w:val="28"/>
      <w:szCs w:val="28"/>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2019-07-01T08:01:00Z</dcterms:created>
  <dc:creator>Promisesdontcomeeasy1387608858</dc:creator>
  <cp:lastModifiedBy>Promisesdontcomeeasy1387608858</cp:lastModifiedBy>
  <dcterms:modified xsi:type="dcterms:W3CDTF">2019-07-01T08:02:43Z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