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方正粗黑宋简体" w:cs="Times New Roman"/>
          <w:sz w:val="40"/>
          <w:szCs w:val="40"/>
        </w:rPr>
      </w:pPr>
      <w:bookmarkStart w:id="0" w:name="_Hlk48657272"/>
    </w:p>
    <w:p>
      <w:pPr>
        <w:spacing w:line="360" w:lineRule="auto"/>
        <w:jc w:val="center"/>
        <w:rPr>
          <w:rFonts w:ascii="Times New Roman" w:hAnsi="Times New Roman" w:eastAsia="方正粗黑宋简体" w:cs="Times New Roman"/>
          <w:sz w:val="40"/>
          <w:szCs w:val="40"/>
        </w:rPr>
      </w:pPr>
    </w:p>
    <w:p>
      <w:pPr>
        <w:spacing w:line="360" w:lineRule="auto"/>
        <w:jc w:val="center"/>
        <w:rPr>
          <w:rFonts w:ascii="Times New Roman" w:hAnsi="Times New Roman" w:eastAsia="方正粗黑宋简体" w:cs="Times New Roman"/>
          <w:sz w:val="52"/>
          <w:szCs w:val="52"/>
        </w:rPr>
      </w:pPr>
      <w:r>
        <w:rPr>
          <w:rFonts w:ascii="Times New Roman" w:hAnsi="Times New Roman" w:eastAsia="方正粗黑宋简体" w:cs="Times New Roman"/>
          <w:b/>
          <w:bCs/>
          <w:sz w:val="52"/>
          <w:szCs w:val="52"/>
        </w:rPr>
        <w:t>玉环市数字经济发展“十四五”规划（2021-2025年）</w:t>
      </w:r>
    </w:p>
    <w:bookmarkEnd w:id="0"/>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rPr>
          <w:rFonts w:ascii="Times New Roman" w:hAnsi="Times New Roman" w:eastAsia="黑体" w:cs="Times New Roman"/>
          <w:sz w:val="32"/>
          <w:szCs w:val="32"/>
        </w:rPr>
      </w:pPr>
    </w:p>
    <w:p>
      <w:pPr>
        <w:spacing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t>玉环市经济和信息化局</w:t>
      </w:r>
    </w:p>
    <w:p>
      <w:pPr>
        <w:spacing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t>二零二一年</w:t>
      </w:r>
      <w:r>
        <w:rPr>
          <w:rFonts w:hint="eastAsia" w:ascii="Times New Roman" w:hAnsi="Times New Roman" w:eastAsia="黑体" w:cs="Times New Roman"/>
          <w:sz w:val="32"/>
          <w:szCs w:val="32"/>
        </w:rPr>
        <w:t>八</w:t>
      </w:r>
      <w:r>
        <w:rPr>
          <w:rFonts w:ascii="Times New Roman" w:hAnsi="Times New Roman" w:eastAsia="黑体" w:cs="Times New Roman"/>
          <w:sz w:val="32"/>
          <w:szCs w:val="32"/>
        </w:rPr>
        <w:t>月</w:t>
      </w:r>
    </w:p>
    <w:p>
      <w:pPr>
        <w:widowControl/>
        <w:tabs>
          <w:tab w:val="left" w:pos="5565"/>
        </w:tabs>
        <w:spacing w:line="360" w:lineRule="auto"/>
        <w:jc w:val="left"/>
        <w:rPr>
          <w:rFonts w:ascii="Times New Roman" w:hAnsi="Times New Roman" w:eastAsia="黑体" w:cs="Times New Roman"/>
          <w:sz w:val="32"/>
          <w:szCs w:val="32"/>
        </w:rPr>
      </w:pPr>
      <w:r>
        <w:rPr>
          <w:rFonts w:ascii="Times New Roman" w:hAnsi="Times New Roman" w:eastAsia="黑体" w:cs="Times New Roman"/>
          <w:sz w:val="32"/>
          <w:szCs w:val="32"/>
        </w:rPr>
        <w:tab/>
      </w:r>
    </w:p>
    <w:p>
      <w:pPr>
        <w:widowControl/>
        <w:tabs>
          <w:tab w:val="left" w:pos="5565"/>
        </w:tabs>
        <w:spacing w:line="360" w:lineRule="auto"/>
        <w:jc w:val="left"/>
        <w:rPr>
          <w:rFonts w:ascii="Times New Roman" w:hAnsi="Times New Roman" w:eastAsia="黑体" w:cs="Times New Roman"/>
          <w:sz w:val="32"/>
          <w:szCs w:val="32"/>
        </w:rPr>
        <w:sectPr>
          <w:headerReference r:id="rId4"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黑体" w:cs="Times New Roman"/>
          <w:sz w:val="32"/>
          <w:szCs w:val="32"/>
        </w:rPr>
        <w:br w:type="page"/>
      </w:r>
      <w:r>
        <w:rPr>
          <w:rFonts w:ascii="Times New Roman" w:hAnsi="Times New Roman" w:eastAsia="黑体" w:cs="Times New Roman"/>
          <w:sz w:val="32"/>
          <w:szCs w:val="32"/>
        </w:rPr>
        <w:tab/>
      </w:r>
    </w:p>
    <w:sdt>
      <w:sdtPr>
        <w:rPr>
          <w:rFonts w:ascii="Times New Roman" w:hAnsi="Times New Roman" w:cs="Times New Roman"/>
          <w:sz w:val="30"/>
          <w:szCs w:val="30"/>
          <w:lang w:val="zh-CN"/>
        </w:rPr>
        <w:id w:val="2041311988"/>
        <w:docPartObj>
          <w:docPartGallery w:val="Table of Contents"/>
          <w:docPartUnique/>
        </w:docPartObj>
      </w:sdtPr>
      <w:sdtEndPr>
        <w:rPr>
          <w:rFonts w:ascii="Times New Roman" w:hAnsi="Times New Roman" w:cs="Times New Roman"/>
          <w:sz w:val="30"/>
          <w:szCs w:val="30"/>
          <w:lang w:val="zh-CN"/>
        </w:rPr>
      </w:sdtEndPr>
      <w:sdtContent>
        <w:p>
          <w:pPr>
            <w:widowControl/>
            <w:spacing w:line="360" w:lineRule="auto"/>
            <w:jc w:val="center"/>
            <w:rPr>
              <w:rFonts w:ascii="Times New Roman" w:hAnsi="Times New Roman" w:eastAsia="黑体" w:cs="Times New Roman"/>
              <w:sz w:val="30"/>
              <w:szCs w:val="30"/>
            </w:rPr>
          </w:pPr>
          <w:r>
            <w:rPr>
              <w:rFonts w:ascii="Times New Roman" w:hAnsi="Times New Roman" w:eastAsia="黑体" w:cs="Times New Roman"/>
              <w:sz w:val="30"/>
              <w:szCs w:val="30"/>
              <w:lang w:val="zh-CN"/>
            </w:rPr>
            <w:t>目 录</w:t>
          </w:r>
        </w:p>
        <w:p>
          <w:pPr>
            <w:pStyle w:val="11"/>
            <w:tabs>
              <w:tab w:val="right" w:leader="dot" w:pos="8296"/>
            </w:tabs>
            <w:spacing w:line="360" w:lineRule="auto"/>
            <w:rPr>
              <w:sz w:val="30"/>
              <w:szCs w:val="30"/>
            </w:rPr>
          </w:pPr>
          <w:r>
            <w:rPr>
              <w:rFonts w:ascii="Times New Roman" w:hAnsi="Times New Roman" w:cs="Times New Roman"/>
              <w:sz w:val="30"/>
              <w:szCs w:val="30"/>
            </w:rPr>
            <w:fldChar w:fldCharType="begin"/>
          </w:r>
          <w:r>
            <w:rPr>
              <w:rFonts w:ascii="Times New Roman" w:hAnsi="Times New Roman" w:cs="Times New Roman"/>
              <w:sz w:val="30"/>
              <w:szCs w:val="30"/>
            </w:rPr>
            <w:instrText xml:space="preserve"> TOC \o "1-3" \h \z \u </w:instrText>
          </w:r>
          <w:r>
            <w:rPr>
              <w:rFonts w:ascii="Times New Roman" w:hAnsi="Times New Roman" w:cs="Times New Roman"/>
              <w:sz w:val="30"/>
              <w:szCs w:val="30"/>
            </w:rPr>
            <w:fldChar w:fldCharType="separate"/>
          </w:r>
          <w:r>
            <w:fldChar w:fldCharType="begin"/>
          </w:r>
          <w:r>
            <w:instrText xml:space="preserve"> HYPERLINK \l "_Toc80366788" </w:instrText>
          </w:r>
          <w:r>
            <w:fldChar w:fldCharType="separate"/>
          </w:r>
          <w:r>
            <w:rPr>
              <w:rStyle w:val="21"/>
              <w:rFonts w:ascii="Times New Roman" w:hAnsi="Times New Roman" w:eastAsia="黑体" w:cs="Times New Roman"/>
              <w:sz w:val="30"/>
              <w:szCs w:val="30"/>
            </w:rPr>
            <w:t>前 言</w:t>
          </w:r>
          <w:r>
            <w:rPr>
              <w:sz w:val="30"/>
              <w:szCs w:val="30"/>
            </w:rPr>
            <w:tab/>
          </w:r>
          <w:r>
            <w:rPr>
              <w:sz w:val="30"/>
              <w:szCs w:val="30"/>
            </w:rPr>
            <w:fldChar w:fldCharType="begin"/>
          </w:r>
          <w:r>
            <w:rPr>
              <w:sz w:val="30"/>
              <w:szCs w:val="30"/>
            </w:rPr>
            <w:instrText xml:space="preserve"> PAGEREF _Toc80366788 \h </w:instrText>
          </w:r>
          <w:r>
            <w:rPr>
              <w:sz w:val="30"/>
              <w:szCs w:val="30"/>
            </w:rPr>
            <w:fldChar w:fldCharType="separate"/>
          </w:r>
          <w:r>
            <w:rPr>
              <w:sz w:val="30"/>
              <w:szCs w:val="30"/>
            </w:rPr>
            <w:t>1</w:t>
          </w:r>
          <w:r>
            <w:rPr>
              <w:sz w:val="30"/>
              <w:szCs w:val="30"/>
            </w:rPr>
            <w:fldChar w:fldCharType="end"/>
          </w:r>
          <w:r>
            <w:rPr>
              <w:sz w:val="30"/>
              <w:szCs w:val="30"/>
            </w:rPr>
            <w:fldChar w:fldCharType="end"/>
          </w:r>
        </w:p>
        <w:p>
          <w:pPr>
            <w:pStyle w:val="11"/>
            <w:tabs>
              <w:tab w:val="right" w:leader="dot" w:pos="8296"/>
            </w:tabs>
            <w:spacing w:line="360" w:lineRule="auto"/>
            <w:rPr>
              <w:sz w:val="30"/>
              <w:szCs w:val="30"/>
            </w:rPr>
          </w:pPr>
          <w:r>
            <w:fldChar w:fldCharType="begin"/>
          </w:r>
          <w:r>
            <w:instrText xml:space="preserve"> HYPERLINK \l "_Toc80366789" </w:instrText>
          </w:r>
          <w:r>
            <w:fldChar w:fldCharType="separate"/>
          </w:r>
          <w:r>
            <w:rPr>
              <w:rStyle w:val="21"/>
              <w:rFonts w:ascii="Times New Roman" w:hAnsi="Times New Roman" w:eastAsia="黑体" w:cs="Times New Roman"/>
              <w:sz w:val="30"/>
              <w:szCs w:val="30"/>
            </w:rPr>
            <w:t>一、“十三五”回顾</w:t>
          </w:r>
          <w:r>
            <w:rPr>
              <w:sz w:val="30"/>
              <w:szCs w:val="30"/>
            </w:rPr>
            <w:tab/>
          </w:r>
          <w:r>
            <w:rPr>
              <w:sz w:val="30"/>
              <w:szCs w:val="30"/>
            </w:rPr>
            <w:fldChar w:fldCharType="begin"/>
          </w:r>
          <w:r>
            <w:rPr>
              <w:sz w:val="30"/>
              <w:szCs w:val="30"/>
            </w:rPr>
            <w:instrText xml:space="preserve"> PAGEREF _Toc80366789 \h </w:instrText>
          </w:r>
          <w:r>
            <w:rPr>
              <w:sz w:val="30"/>
              <w:szCs w:val="30"/>
            </w:rPr>
            <w:fldChar w:fldCharType="separate"/>
          </w:r>
          <w:r>
            <w:rPr>
              <w:sz w:val="30"/>
              <w:szCs w:val="30"/>
            </w:rPr>
            <w:t>2</w:t>
          </w:r>
          <w:r>
            <w:rPr>
              <w:sz w:val="30"/>
              <w:szCs w:val="30"/>
            </w:rPr>
            <w:fldChar w:fldCharType="end"/>
          </w:r>
          <w:r>
            <w:rPr>
              <w:sz w:val="30"/>
              <w:szCs w:val="3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"_Toc80366790" </w:instrText>
          </w:r>
          <w:r>
            <w:fldChar w:fldCharType="separate"/>
          </w:r>
          <w:r>
            <w:rPr>
              <w:rStyle w:val="21"/>
              <w:b w:val="0"/>
              <w:bCs w:val="0"/>
            </w:rPr>
            <w:t>（一）数字产业化突破，核心产业培育成效初显</w:t>
          </w:r>
          <w:r>
            <w:rPr>
              <w:b w:val="0"/>
              <w:bCs w:val="0"/>
            </w:rPr>
            <w:tab/>
          </w:r>
          <w:r>
            <w:rPr>
              <w:b w:val="0"/>
              <w:bCs w:val="0"/>
            </w:rPr>
            <w:fldChar w:fldCharType="begin"/>
          </w:r>
          <w:r>
            <w:rPr>
              <w:b w:val="0"/>
              <w:bCs w:val="0"/>
            </w:rPr>
            <w:instrText xml:space="preserve"> PAGEREF _Toc80366790 \h </w:instrText>
          </w:r>
          <w:r>
            <w:rPr>
              <w:b w:val="0"/>
              <w:bCs w:val="0"/>
            </w:rPr>
            <w:fldChar w:fldCharType="separate"/>
          </w:r>
          <w:r>
            <w:rPr>
              <w:b w:val="0"/>
              <w:bCs w:val="0"/>
            </w:rPr>
            <w:t>2</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"_Toc80366791" </w:instrText>
          </w:r>
          <w:r>
            <w:fldChar w:fldCharType="separate"/>
          </w:r>
          <w:r>
            <w:rPr>
              <w:rStyle w:val="21"/>
              <w:b w:val="0"/>
              <w:bCs w:val="0"/>
            </w:rPr>
            <w:t>（二）产业数字化引领，制造业转型蝶变快提速</w:t>
          </w:r>
          <w:r>
            <w:rPr>
              <w:b w:val="0"/>
              <w:bCs w:val="0"/>
            </w:rPr>
            <w:tab/>
          </w:r>
          <w:r>
            <w:rPr>
              <w:b w:val="0"/>
              <w:bCs w:val="0"/>
            </w:rPr>
            <w:fldChar w:fldCharType="begin"/>
          </w:r>
          <w:r>
            <w:rPr>
              <w:b w:val="0"/>
              <w:bCs w:val="0"/>
            </w:rPr>
            <w:instrText xml:space="preserve"> PAGEREF _Toc80366791 \h </w:instrText>
          </w:r>
          <w:r>
            <w:rPr>
              <w:b w:val="0"/>
              <w:bCs w:val="0"/>
            </w:rPr>
            <w:fldChar w:fldCharType="separate"/>
          </w:r>
          <w:r>
            <w:rPr>
              <w:b w:val="0"/>
              <w:bCs w:val="0"/>
            </w:rPr>
            <w:t>2</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"_Toc80366792" </w:instrText>
          </w:r>
          <w:r>
            <w:fldChar w:fldCharType="separate"/>
          </w:r>
          <w:r>
            <w:rPr>
              <w:rStyle w:val="21"/>
              <w:b w:val="0"/>
              <w:bCs w:val="0"/>
            </w:rPr>
            <w:t>（三）“两化”协同创新提质，驱动催化效应显现</w:t>
          </w:r>
          <w:r>
            <w:rPr>
              <w:b w:val="0"/>
              <w:bCs w:val="0"/>
            </w:rPr>
            <w:tab/>
          </w:r>
          <w:r>
            <w:rPr>
              <w:b w:val="0"/>
              <w:bCs w:val="0"/>
            </w:rPr>
            <w:fldChar w:fldCharType="begin"/>
          </w:r>
          <w:r>
            <w:rPr>
              <w:b w:val="0"/>
              <w:bCs w:val="0"/>
            </w:rPr>
            <w:instrText xml:space="preserve"> PAGEREF _Toc80366792 \h </w:instrText>
          </w:r>
          <w:r>
            <w:rPr>
              <w:b w:val="0"/>
              <w:bCs w:val="0"/>
            </w:rPr>
            <w:fldChar w:fldCharType="separate"/>
          </w:r>
          <w:r>
            <w:rPr>
              <w:b w:val="0"/>
              <w:bCs w:val="0"/>
            </w:rPr>
            <w:t>3</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"_Toc80366793" </w:instrText>
          </w:r>
          <w:r>
            <w:fldChar w:fldCharType="separate"/>
          </w:r>
          <w:r>
            <w:rPr>
              <w:rStyle w:val="21"/>
              <w:b w:val="0"/>
              <w:bCs w:val="0"/>
            </w:rPr>
            <w:t>（四）“软硬”产业环境改善，虹吸磁吸效应放大</w:t>
          </w:r>
          <w:r>
            <w:rPr>
              <w:b w:val="0"/>
              <w:bCs w:val="0"/>
            </w:rPr>
            <w:tab/>
          </w:r>
          <w:r>
            <w:rPr>
              <w:b w:val="0"/>
              <w:bCs w:val="0"/>
            </w:rPr>
            <w:fldChar w:fldCharType="begin"/>
          </w:r>
          <w:r>
            <w:rPr>
              <w:b w:val="0"/>
              <w:bCs w:val="0"/>
            </w:rPr>
            <w:instrText xml:space="preserve"> PAGEREF _Toc80366793 \h </w:instrText>
          </w:r>
          <w:r>
            <w:rPr>
              <w:b w:val="0"/>
              <w:bCs w:val="0"/>
            </w:rPr>
            <w:fldChar w:fldCharType="separate"/>
          </w:r>
          <w:r>
            <w:rPr>
              <w:b w:val="0"/>
              <w:bCs w:val="0"/>
            </w:rPr>
            <w:t>3</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"_Toc80366794" </w:instrText>
          </w:r>
          <w:r>
            <w:fldChar w:fldCharType="separate"/>
          </w:r>
          <w:r>
            <w:rPr>
              <w:rStyle w:val="21"/>
              <w:b w:val="0"/>
              <w:bCs w:val="0"/>
            </w:rPr>
            <w:t>（五）数字新基建部署加快，新业态新应用凸显</w:t>
          </w:r>
          <w:r>
            <w:rPr>
              <w:b w:val="0"/>
              <w:bCs w:val="0"/>
            </w:rPr>
            <w:tab/>
          </w:r>
          <w:r>
            <w:rPr>
              <w:b w:val="0"/>
              <w:bCs w:val="0"/>
            </w:rPr>
            <w:fldChar w:fldCharType="begin"/>
          </w:r>
          <w:r>
            <w:rPr>
              <w:b w:val="0"/>
              <w:bCs w:val="0"/>
            </w:rPr>
            <w:instrText xml:space="preserve"> PAGEREF _Toc80366794 \h </w:instrText>
          </w:r>
          <w:r>
            <w:rPr>
              <w:b w:val="0"/>
              <w:bCs w:val="0"/>
            </w:rPr>
            <w:fldChar w:fldCharType="separate"/>
          </w:r>
          <w:r>
            <w:rPr>
              <w:b w:val="0"/>
              <w:bCs w:val="0"/>
            </w:rPr>
            <w:t>4</w:t>
          </w:r>
          <w:r>
            <w:rPr>
              <w:b w:val="0"/>
              <w:bCs w:val="0"/>
            </w:rPr>
            <w:fldChar w:fldCharType="end"/>
          </w:r>
          <w:r>
            <w:rPr>
              <w:b w:val="0"/>
              <w:bCs w:val="0"/>
            </w:rPr>
            <w:fldChar w:fldCharType="end"/>
          </w:r>
        </w:p>
        <w:p>
          <w:pPr>
            <w:pStyle w:val="11"/>
            <w:tabs>
              <w:tab w:val="right" w:leader="dot" w:pos="8296"/>
            </w:tabs>
            <w:spacing w:line="360" w:lineRule="auto"/>
            <w:rPr>
              <w:sz w:val="30"/>
              <w:szCs w:val="30"/>
            </w:rPr>
          </w:pPr>
          <w:r>
            <w:fldChar w:fldCharType="begin"/>
          </w:r>
          <w:r>
            <w:instrText xml:space="preserve"> HYPERLINK \l "_Toc80366795" </w:instrText>
          </w:r>
          <w:r>
            <w:fldChar w:fldCharType="separate"/>
          </w:r>
          <w:r>
            <w:rPr>
              <w:rStyle w:val="21"/>
              <w:rFonts w:ascii="Times New Roman" w:hAnsi="Times New Roman" w:eastAsia="黑体" w:cs="Times New Roman"/>
              <w:sz w:val="30"/>
              <w:szCs w:val="30"/>
            </w:rPr>
            <w:t>二、“十四五”形势</w:t>
          </w:r>
          <w:r>
            <w:rPr>
              <w:sz w:val="30"/>
              <w:szCs w:val="30"/>
            </w:rPr>
            <w:tab/>
          </w:r>
          <w:r>
            <w:rPr>
              <w:sz w:val="30"/>
              <w:szCs w:val="30"/>
            </w:rPr>
            <w:fldChar w:fldCharType="begin"/>
          </w:r>
          <w:r>
            <w:rPr>
              <w:sz w:val="30"/>
              <w:szCs w:val="30"/>
            </w:rPr>
            <w:instrText xml:space="preserve"> PAGEREF _Toc80366795 \h </w:instrText>
          </w:r>
          <w:r>
            <w:rPr>
              <w:sz w:val="30"/>
              <w:szCs w:val="30"/>
            </w:rPr>
            <w:fldChar w:fldCharType="separate"/>
          </w:r>
          <w:r>
            <w:rPr>
              <w:sz w:val="30"/>
              <w:szCs w:val="30"/>
            </w:rPr>
            <w:t>5</w:t>
          </w:r>
          <w:r>
            <w:rPr>
              <w:sz w:val="30"/>
              <w:szCs w:val="30"/>
            </w:rPr>
            <w:fldChar w:fldCharType="end"/>
          </w:r>
          <w:r>
            <w:rPr>
              <w:sz w:val="30"/>
              <w:szCs w:val="3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"_Toc80366796" </w:instrText>
          </w:r>
          <w:r>
            <w:fldChar w:fldCharType="separate"/>
          </w:r>
          <w:r>
            <w:rPr>
              <w:rStyle w:val="21"/>
              <w:b w:val="0"/>
              <w:bCs w:val="0"/>
            </w:rPr>
            <w:t>（一）发展新环境</w:t>
          </w:r>
          <w:r>
            <w:rPr>
              <w:b w:val="0"/>
              <w:bCs w:val="0"/>
            </w:rPr>
            <w:tab/>
          </w:r>
          <w:r>
            <w:rPr>
              <w:b w:val="0"/>
              <w:bCs w:val="0"/>
            </w:rPr>
            <w:fldChar w:fldCharType="begin"/>
          </w:r>
          <w:r>
            <w:rPr>
              <w:b w:val="0"/>
              <w:bCs w:val="0"/>
            </w:rPr>
            <w:instrText xml:space="preserve"> PAGEREF _Toc80366796 \h </w:instrText>
          </w:r>
          <w:r>
            <w:rPr>
              <w:b w:val="0"/>
              <w:bCs w:val="0"/>
            </w:rPr>
            <w:fldChar w:fldCharType="separate"/>
          </w:r>
          <w:r>
            <w:rPr>
              <w:b w:val="0"/>
              <w:bCs w:val="0"/>
            </w:rPr>
            <w:t>5</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"_Toc80366797" </w:instrText>
          </w:r>
          <w:r>
            <w:fldChar w:fldCharType="separate"/>
          </w:r>
          <w:r>
            <w:rPr>
              <w:rStyle w:val="21"/>
              <w:b w:val="0"/>
              <w:bCs w:val="0"/>
            </w:rPr>
            <w:t>（二）面临新形势</w:t>
          </w:r>
          <w:r>
            <w:rPr>
              <w:b w:val="0"/>
              <w:bCs w:val="0"/>
            </w:rPr>
            <w:tab/>
          </w:r>
          <w:r>
            <w:rPr>
              <w:b w:val="0"/>
              <w:bCs w:val="0"/>
            </w:rPr>
            <w:fldChar w:fldCharType="begin"/>
          </w:r>
          <w:r>
            <w:rPr>
              <w:b w:val="0"/>
              <w:bCs w:val="0"/>
            </w:rPr>
            <w:instrText xml:space="preserve"> PAGEREF _Toc80366797 \h </w:instrText>
          </w:r>
          <w:r>
            <w:rPr>
              <w:b w:val="0"/>
              <w:bCs w:val="0"/>
            </w:rPr>
            <w:fldChar w:fldCharType="separate"/>
          </w:r>
          <w:r>
            <w:rPr>
              <w:b w:val="0"/>
              <w:bCs w:val="0"/>
            </w:rPr>
            <w:t>7</w:t>
          </w:r>
          <w:r>
            <w:rPr>
              <w:b w:val="0"/>
              <w:bCs w:val="0"/>
            </w:rPr>
            <w:fldChar w:fldCharType="end"/>
          </w:r>
          <w:r>
            <w:rPr>
              <w:b w:val="0"/>
              <w:bCs w:val="0"/>
            </w:rPr>
            <w:fldChar w:fldCharType="end"/>
          </w:r>
        </w:p>
        <w:p>
          <w:pPr>
            <w:pStyle w:val="11"/>
            <w:tabs>
              <w:tab w:val="right" w:leader="dot" w:pos="8296"/>
            </w:tabs>
            <w:spacing w:line="360" w:lineRule="auto"/>
            <w:rPr>
              <w:sz w:val="30"/>
              <w:szCs w:val="30"/>
            </w:rPr>
          </w:pPr>
          <w:r>
            <w:fldChar w:fldCharType="begin"/>
          </w:r>
          <w:r>
            <w:instrText xml:space="preserve"> HYPERLINK \l "_Toc80366798" </w:instrText>
          </w:r>
          <w:r>
            <w:fldChar w:fldCharType="separate"/>
          </w:r>
          <w:r>
            <w:rPr>
              <w:rStyle w:val="21"/>
              <w:rFonts w:ascii="Times New Roman" w:hAnsi="Times New Roman" w:eastAsia="黑体" w:cs="Times New Roman"/>
              <w:sz w:val="30"/>
              <w:szCs w:val="30"/>
            </w:rPr>
            <w:t>三、总体要求</w:t>
          </w:r>
          <w:r>
            <w:rPr>
              <w:sz w:val="30"/>
              <w:szCs w:val="30"/>
            </w:rPr>
            <w:tab/>
          </w:r>
          <w:r>
            <w:rPr>
              <w:sz w:val="30"/>
              <w:szCs w:val="30"/>
            </w:rPr>
            <w:fldChar w:fldCharType="begin"/>
          </w:r>
          <w:r>
            <w:rPr>
              <w:sz w:val="30"/>
              <w:szCs w:val="30"/>
            </w:rPr>
            <w:instrText xml:space="preserve"> PAGEREF _Toc80366798 \h </w:instrText>
          </w:r>
          <w:r>
            <w:rPr>
              <w:sz w:val="30"/>
              <w:szCs w:val="30"/>
            </w:rPr>
            <w:fldChar w:fldCharType="separate"/>
          </w:r>
          <w:r>
            <w:rPr>
              <w:sz w:val="30"/>
              <w:szCs w:val="30"/>
            </w:rPr>
            <w:t>8</w:t>
          </w:r>
          <w:r>
            <w:rPr>
              <w:sz w:val="30"/>
              <w:szCs w:val="30"/>
            </w:rPr>
            <w:fldChar w:fldCharType="end"/>
          </w:r>
          <w:r>
            <w:rPr>
              <w:sz w:val="30"/>
              <w:szCs w:val="3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"_Toc80366799" </w:instrText>
          </w:r>
          <w:r>
            <w:fldChar w:fldCharType="separate"/>
          </w:r>
          <w:r>
            <w:rPr>
              <w:rStyle w:val="21"/>
              <w:b w:val="0"/>
              <w:bCs w:val="0"/>
            </w:rPr>
            <w:t>（一）指导思想</w:t>
          </w:r>
          <w:r>
            <w:rPr>
              <w:b w:val="0"/>
              <w:bCs w:val="0"/>
            </w:rPr>
            <w:tab/>
          </w:r>
          <w:r>
            <w:rPr>
              <w:b w:val="0"/>
              <w:bCs w:val="0"/>
            </w:rPr>
            <w:fldChar w:fldCharType="begin"/>
          </w:r>
          <w:r>
            <w:rPr>
              <w:b w:val="0"/>
              <w:bCs w:val="0"/>
            </w:rPr>
            <w:instrText xml:space="preserve"> PAGEREF _Toc80366799 \h </w:instrText>
          </w:r>
          <w:r>
            <w:rPr>
              <w:b w:val="0"/>
              <w:bCs w:val="0"/>
            </w:rPr>
            <w:fldChar w:fldCharType="separate"/>
          </w:r>
          <w:r>
            <w:rPr>
              <w:b w:val="0"/>
              <w:bCs w:val="0"/>
            </w:rPr>
            <w:t>8</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"_Toc80366800" </w:instrText>
          </w:r>
          <w:r>
            <w:fldChar w:fldCharType="separate"/>
          </w:r>
          <w:r>
            <w:rPr>
              <w:rStyle w:val="21"/>
              <w:b w:val="0"/>
              <w:bCs w:val="0"/>
            </w:rPr>
            <w:t>（二）基本原则</w:t>
          </w:r>
          <w:r>
            <w:rPr>
              <w:b w:val="0"/>
              <w:bCs w:val="0"/>
            </w:rPr>
            <w:tab/>
          </w:r>
          <w:r>
            <w:rPr>
              <w:b w:val="0"/>
              <w:bCs w:val="0"/>
            </w:rPr>
            <w:fldChar w:fldCharType="begin"/>
          </w:r>
          <w:r>
            <w:rPr>
              <w:b w:val="0"/>
              <w:bCs w:val="0"/>
            </w:rPr>
            <w:instrText xml:space="preserve"> PAGEREF _Toc80366800 \h </w:instrText>
          </w:r>
          <w:r>
            <w:rPr>
              <w:b w:val="0"/>
              <w:bCs w:val="0"/>
            </w:rPr>
            <w:fldChar w:fldCharType="separate"/>
          </w:r>
          <w:r>
            <w:rPr>
              <w:b w:val="0"/>
              <w:bCs w:val="0"/>
            </w:rPr>
            <w:t>9</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"_Toc80366801" </w:instrText>
          </w:r>
          <w:r>
            <w:fldChar w:fldCharType="separate"/>
          </w:r>
          <w:r>
            <w:rPr>
              <w:rStyle w:val="21"/>
              <w:b w:val="0"/>
              <w:bCs w:val="0"/>
            </w:rPr>
            <w:t>（三）发展定位</w:t>
          </w:r>
          <w:r>
            <w:rPr>
              <w:b w:val="0"/>
              <w:bCs w:val="0"/>
            </w:rPr>
            <w:tab/>
          </w:r>
          <w:r>
            <w:rPr>
              <w:b w:val="0"/>
              <w:bCs w:val="0"/>
            </w:rPr>
            <w:fldChar w:fldCharType="begin"/>
          </w:r>
          <w:r>
            <w:rPr>
              <w:b w:val="0"/>
              <w:bCs w:val="0"/>
            </w:rPr>
            <w:instrText xml:space="preserve"> PAGEREF _Toc80366801 \h </w:instrText>
          </w:r>
          <w:r>
            <w:rPr>
              <w:b w:val="0"/>
              <w:bCs w:val="0"/>
            </w:rPr>
            <w:fldChar w:fldCharType="separate"/>
          </w:r>
          <w:r>
            <w:rPr>
              <w:b w:val="0"/>
              <w:bCs w:val="0"/>
            </w:rPr>
            <w:t>9</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"_Toc80366802" </w:instrText>
          </w:r>
          <w:r>
            <w:fldChar w:fldCharType="separate"/>
          </w:r>
          <w:r>
            <w:rPr>
              <w:rStyle w:val="21"/>
              <w:b w:val="0"/>
              <w:bCs w:val="0"/>
            </w:rPr>
            <w:t>（四）发展目标</w:t>
          </w:r>
          <w:r>
            <w:rPr>
              <w:b w:val="0"/>
              <w:bCs w:val="0"/>
            </w:rPr>
            <w:tab/>
          </w:r>
          <w:r>
            <w:rPr>
              <w:b w:val="0"/>
              <w:bCs w:val="0"/>
            </w:rPr>
            <w:fldChar w:fldCharType="begin"/>
          </w:r>
          <w:r>
            <w:rPr>
              <w:b w:val="0"/>
              <w:bCs w:val="0"/>
            </w:rPr>
            <w:instrText xml:space="preserve"> PAGEREF _Toc80366802 \h </w:instrText>
          </w:r>
          <w:r>
            <w:rPr>
              <w:b w:val="0"/>
              <w:bCs w:val="0"/>
            </w:rPr>
            <w:fldChar w:fldCharType="separate"/>
          </w:r>
          <w:r>
            <w:rPr>
              <w:b w:val="0"/>
              <w:bCs w:val="0"/>
            </w:rPr>
            <w:t>10</w:t>
          </w:r>
          <w:r>
            <w:rPr>
              <w:b w:val="0"/>
              <w:bCs w:val="0"/>
            </w:rPr>
            <w:fldChar w:fldCharType="end"/>
          </w:r>
          <w:r>
            <w:rPr>
              <w:b w:val="0"/>
              <w:bCs w:val="0"/>
            </w:rPr>
            <w:fldChar w:fldCharType="end"/>
          </w:r>
        </w:p>
        <w:p>
          <w:pPr>
            <w:pStyle w:val="11"/>
            <w:tabs>
              <w:tab w:val="right" w:leader="dot" w:pos="8296"/>
            </w:tabs>
            <w:spacing w:line="360" w:lineRule="auto"/>
            <w:rPr>
              <w:sz w:val="30"/>
              <w:szCs w:val="30"/>
            </w:rPr>
          </w:pPr>
          <w:r>
            <w:fldChar w:fldCharType="begin"/>
          </w:r>
          <w:r>
            <w:instrText xml:space="preserve"> HYPERLINK \l "_Toc80366803" </w:instrText>
          </w:r>
          <w:r>
            <w:fldChar w:fldCharType="separate"/>
          </w:r>
          <w:r>
            <w:rPr>
              <w:rStyle w:val="21"/>
              <w:rFonts w:ascii="Times New Roman" w:hAnsi="Times New Roman" w:eastAsia="黑体" w:cs="Times New Roman"/>
              <w:sz w:val="30"/>
              <w:szCs w:val="30"/>
            </w:rPr>
            <w:t>四、主要任务</w:t>
          </w:r>
          <w:r>
            <w:rPr>
              <w:sz w:val="30"/>
              <w:szCs w:val="30"/>
            </w:rPr>
            <w:tab/>
          </w:r>
          <w:r>
            <w:rPr>
              <w:sz w:val="30"/>
              <w:szCs w:val="30"/>
            </w:rPr>
            <w:fldChar w:fldCharType="begin"/>
          </w:r>
          <w:r>
            <w:rPr>
              <w:sz w:val="30"/>
              <w:szCs w:val="30"/>
            </w:rPr>
            <w:instrText xml:space="preserve"> PAGEREF _Toc80366803 \h </w:instrText>
          </w:r>
          <w:r>
            <w:rPr>
              <w:sz w:val="30"/>
              <w:szCs w:val="30"/>
            </w:rPr>
            <w:fldChar w:fldCharType="separate"/>
          </w:r>
          <w:r>
            <w:rPr>
              <w:sz w:val="30"/>
              <w:szCs w:val="30"/>
            </w:rPr>
            <w:t>12</w:t>
          </w:r>
          <w:r>
            <w:rPr>
              <w:sz w:val="30"/>
              <w:szCs w:val="30"/>
            </w:rPr>
            <w:fldChar w:fldCharType="end"/>
          </w:r>
          <w:r>
            <w:rPr>
              <w:sz w:val="30"/>
              <w:szCs w:val="3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"_Toc80366804" </w:instrText>
          </w:r>
          <w:r>
            <w:fldChar w:fldCharType="separate"/>
          </w:r>
          <w:r>
            <w:rPr>
              <w:rStyle w:val="21"/>
              <w:b w:val="0"/>
              <w:bCs w:val="0"/>
            </w:rPr>
            <w:t>（一）紧扣数字产业“一张图”，构筑数字经济生态</w:t>
          </w:r>
          <w:r>
            <w:rPr>
              <w:b w:val="0"/>
              <w:bCs w:val="0"/>
            </w:rPr>
            <w:tab/>
          </w:r>
          <w:r>
            <w:rPr>
              <w:b w:val="0"/>
              <w:bCs w:val="0"/>
            </w:rPr>
            <w:fldChar w:fldCharType="begin"/>
          </w:r>
          <w:r>
            <w:rPr>
              <w:b w:val="0"/>
              <w:bCs w:val="0"/>
            </w:rPr>
            <w:instrText xml:space="preserve"> PAGEREF _Toc80366804 \h </w:instrText>
          </w:r>
          <w:r>
            <w:rPr>
              <w:b w:val="0"/>
              <w:bCs w:val="0"/>
            </w:rPr>
            <w:fldChar w:fldCharType="separate"/>
          </w:r>
          <w:r>
            <w:rPr>
              <w:b w:val="0"/>
              <w:bCs w:val="0"/>
            </w:rPr>
            <w:t>12</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"_Toc80366805" </w:instrText>
          </w:r>
          <w:r>
            <w:fldChar w:fldCharType="separate"/>
          </w:r>
          <w:r>
            <w:rPr>
              <w:rStyle w:val="21"/>
              <w:b w:val="0"/>
              <w:bCs w:val="0"/>
            </w:rPr>
            <w:t>（二）树立数字转型“一盘棋”，构筑赋能高质量生态</w:t>
          </w:r>
          <w:r>
            <w:rPr>
              <w:b w:val="0"/>
              <w:bCs w:val="0"/>
            </w:rPr>
            <w:tab/>
          </w:r>
          <w:r>
            <w:rPr>
              <w:b w:val="0"/>
              <w:bCs w:val="0"/>
            </w:rPr>
            <w:fldChar w:fldCharType="begin"/>
          </w:r>
          <w:r>
            <w:rPr>
              <w:b w:val="0"/>
              <w:bCs w:val="0"/>
            </w:rPr>
            <w:instrText xml:space="preserve"> PAGEREF _Toc80366805 \h </w:instrText>
          </w:r>
          <w:r>
            <w:rPr>
              <w:b w:val="0"/>
              <w:bCs w:val="0"/>
            </w:rPr>
            <w:fldChar w:fldCharType="separate"/>
          </w:r>
          <w:r>
            <w:rPr>
              <w:b w:val="0"/>
              <w:bCs w:val="0"/>
            </w:rPr>
            <w:t>16</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"_Toc80366806" </w:instrText>
          </w:r>
          <w:r>
            <w:fldChar w:fldCharType="separate"/>
          </w:r>
          <w:r>
            <w:rPr>
              <w:rStyle w:val="21"/>
              <w:b w:val="0"/>
              <w:bCs w:val="0"/>
            </w:rPr>
            <w:t>（三）聚力科技创新“一引擎”，构筑数字科创生态</w:t>
          </w:r>
          <w:r>
            <w:rPr>
              <w:b w:val="0"/>
              <w:bCs w:val="0"/>
            </w:rPr>
            <w:tab/>
          </w:r>
          <w:r>
            <w:rPr>
              <w:b w:val="0"/>
              <w:bCs w:val="0"/>
            </w:rPr>
            <w:fldChar w:fldCharType="begin"/>
          </w:r>
          <w:r>
            <w:rPr>
              <w:b w:val="0"/>
              <w:bCs w:val="0"/>
            </w:rPr>
            <w:instrText xml:space="preserve"> PAGEREF _Toc80366806 \h </w:instrText>
          </w:r>
          <w:r>
            <w:rPr>
              <w:b w:val="0"/>
              <w:bCs w:val="0"/>
            </w:rPr>
            <w:fldChar w:fldCharType="separate"/>
          </w:r>
          <w:r>
            <w:rPr>
              <w:b w:val="0"/>
              <w:bCs w:val="0"/>
            </w:rPr>
            <w:t>20</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"_Toc80366807" </w:instrText>
          </w:r>
          <w:r>
            <w:fldChar w:fldCharType="separate"/>
          </w:r>
          <w:r>
            <w:rPr>
              <w:rStyle w:val="21"/>
              <w:b w:val="0"/>
              <w:bCs w:val="0"/>
            </w:rPr>
            <w:t>（四）织就数字精智“一张网”，构筑数字治理体系</w:t>
          </w:r>
          <w:r>
            <w:rPr>
              <w:b w:val="0"/>
              <w:bCs w:val="0"/>
            </w:rPr>
            <w:tab/>
          </w:r>
          <w:r>
            <w:rPr>
              <w:b w:val="0"/>
              <w:bCs w:val="0"/>
            </w:rPr>
            <w:fldChar w:fldCharType="begin"/>
          </w:r>
          <w:r>
            <w:rPr>
              <w:b w:val="0"/>
              <w:bCs w:val="0"/>
            </w:rPr>
            <w:instrText xml:space="preserve"> PAGEREF _Toc80366807 \h </w:instrText>
          </w:r>
          <w:r>
            <w:rPr>
              <w:b w:val="0"/>
              <w:bCs w:val="0"/>
            </w:rPr>
            <w:fldChar w:fldCharType="separate"/>
          </w:r>
          <w:r>
            <w:rPr>
              <w:b w:val="0"/>
              <w:bCs w:val="0"/>
            </w:rPr>
            <w:t>22</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"_Toc80366808" </w:instrText>
          </w:r>
          <w:r>
            <w:fldChar w:fldCharType="separate"/>
          </w:r>
          <w:r>
            <w:rPr>
              <w:rStyle w:val="21"/>
              <w:b w:val="0"/>
              <w:bCs w:val="0"/>
            </w:rPr>
            <w:t>（五）拧紧开放链接“一股绳”，构建协同发展体系</w:t>
          </w:r>
          <w:r>
            <w:rPr>
              <w:b w:val="0"/>
              <w:bCs w:val="0"/>
            </w:rPr>
            <w:tab/>
          </w:r>
          <w:r>
            <w:rPr>
              <w:b w:val="0"/>
              <w:bCs w:val="0"/>
            </w:rPr>
            <w:fldChar w:fldCharType="begin"/>
          </w:r>
          <w:r>
            <w:rPr>
              <w:b w:val="0"/>
              <w:bCs w:val="0"/>
            </w:rPr>
            <w:instrText xml:space="preserve"> PAGEREF _Toc80366808 \h </w:instrText>
          </w:r>
          <w:r>
            <w:rPr>
              <w:b w:val="0"/>
              <w:bCs w:val="0"/>
            </w:rPr>
            <w:fldChar w:fldCharType="separate"/>
          </w:r>
          <w:r>
            <w:rPr>
              <w:b w:val="0"/>
              <w:bCs w:val="0"/>
            </w:rPr>
            <w:t>25</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"_Toc80366809" </w:instrText>
          </w:r>
          <w:r>
            <w:fldChar w:fldCharType="separate"/>
          </w:r>
          <w:r>
            <w:rPr>
              <w:rStyle w:val="21"/>
              <w:b w:val="0"/>
              <w:bCs w:val="0"/>
            </w:rPr>
            <w:t>（六）对表数字基建“一览表”，构筑数字基座体系</w:t>
          </w:r>
          <w:r>
            <w:rPr>
              <w:b w:val="0"/>
              <w:bCs w:val="0"/>
            </w:rPr>
            <w:tab/>
          </w:r>
          <w:r>
            <w:rPr>
              <w:b w:val="0"/>
              <w:bCs w:val="0"/>
            </w:rPr>
            <w:fldChar w:fldCharType="begin"/>
          </w:r>
          <w:r>
            <w:rPr>
              <w:b w:val="0"/>
              <w:bCs w:val="0"/>
            </w:rPr>
            <w:instrText xml:space="preserve"> PAGEREF _Toc80366809 \h </w:instrText>
          </w:r>
          <w:r>
            <w:rPr>
              <w:b w:val="0"/>
              <w:bCs w:val="0"/>
            </w:rPr>
            <w:fldChar w:fldCharType="separate"/>
          </w:r>
          <w:r>
            <w:rPr>
              <w:b w:val="0"/>
              <w:bCs w:val="0"/>
            </w:rPr>
            <w:t>27</w:t>
          </w:r>
          <w:r>
            <w:rPr>
              <w:b w:val="0"/>
              <w:bCs w:val="0"/>
            </w:rPr>
            <w:fldChar w:fldCharType="end"/>
          </w:r>
          <w:r>
            <w:rPr>
              <w:b w:val="0"/>
              <w:bCs w:val="0"/>
            </w:rPr>
            <w:fldChar w:fldCharType="end"/>
          </w:r>
        </w:p>
        <w:p>
          <w:pPr>
            <w:pStyle w:val="11"/>
            <w:tabs>
              <w:tab w:val="right" w:leader="dot" w:pos="8296"/>
            </w:tabs>
            <w:spacing w:line="360" w:lineRule="auto"/>
            <w:rPr>
              <w:sz w:val="30"/>
              <w:szCs w:val="30"/>
            </w:rPr>
          </w:pPr>
          <w:r>
            <w:fldChar w:fldCharType="begin"/>
          </w:r>
          <w:r>
            <w:instrText xml:space="preserve"> HYPERLINK \l "_Toc80366810" </w:instrText>
          </w:r>
          <w:r>
            <w:fldChar w:fldCharType="separate"/>
          </w:r>
          <w:r>
            <w:rPr>
              <w:rStyle w:val="21"/>
              <w:rFonts w:ascii="Times New Roman" w:hAnsi="Times New Roman" w:eastAsia="黑体" w:cs="Times New Roman"/>
              <w:sz w:val="30"/>
              <w:szCs w:val="30"/>
            </w:rPr>
            <w:t>五、保障措施</w:t>
          </w:r>
          <w:r>
            <w:rPr>
              <w:sz w:val="30"/>
              <w:szCs w:val="30"/>
            </w:rPr>
            <w:tab/>
          </w:r>
          <w:r>
            <w:rPr>
              <w:sz w:val="30"/>
              <w:szCs w:val="30"/>
            </w:rPr>
            <w:fldChar w:fldCharType="begin"/>
          </w:r>
          <w:r>
            <w:rPr>
              <w:sz w:val="30"/>
              <w:szCs w:val="30"/>
            </w:rPr>
            <w:instrText xml:space="preserve"> PAGEREF _Toc80366810 \h </w:instrText>
          </w:r>
          <w:r>
            <w:rPr>
              <w:sz w:val="30"/>
              <w:szCs w:val="30"/>
            </w:rPr>
            <w:fldChar w:fldCharType="separate"/>
          </w:r>
          <w:r>
            <w:rPr>
              <w:sz w:val="30"/>
              <w:szCs w:val="30"/>
            </w:rPr>
            <w:t>28</w:t>
          </w:r>
          <w:r>
            <w:rPr>
              <w:sz w:val="30"/>
              <w:szCs w:val="30"/>
            </w:rPr>
            <w:fldChar w:fldCharType="end"/>
          </w:r>
          <w:r>
            <w:rPr>
              <w:sz w:val="30"/>
              <w:szCs w:val="3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"_Toc80366811" </w:instrText>
          </w:r>
          <w:r>
            <w:fldChar w:fldCharType="separate"/>
          </w:r>
          <w:r>
            <w:rPr>
              <w:rStyle w:val="21"/>
              <w:b w:val="0"/>
              <w:bCs w:val="0"/>
            </w:rPr>
            <w:t>（一）健全精准政策支持体系</w:t>
          </w:r>
          <w:r>
            <w:rPr>
              <w:b w:val="0"/>
              <w:bCs w:val="0"/>
            </w:rPr>
            <w:tab/>
          </w:r>
          <w:r>
            <w:rPr>
              <w:b w:val="0"/>
              <w:bCs w:val="0"/>
            </w:rPr>
            <w:fldChar w:fldCharType="begin"/>
          </w:r>
          <w:r>
            <w:rPr>
              <w:b w:val="0"/>
              <w:bCs w:val="0"/>
            </w:rPr>
            <w:instrText xml:space="preserve"> PAGEREF _Toc80366811 \h </w:instrText>
          </w:r>
          <w:r>
            <w:rPr>
              <w:b w:val="0"/>
              <w:bCs w:val="0"/>
            </w:rPr>
            <w:fldChar w:fldCharType="separate"/>
          </w:r>
          <w:r>
            <w:rPr>
              <w:b w:val="0"/>
              <w:bCs w:val="0"/>
            </w:rPr>
            <w:t>28</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"_Toc80366812" </w:instrText>
          </w:r>
          <w:r>
            <w:fldChar w:fldCharType="separate"/>
          </w:r>
          <w:r>
            <w:rPr>
              <w:rStyle w:val="21"/>
              <w:b w:val="0"/>
              <w:bCs w:val="0"/>
            </w:rPr>
            <w:t>（二）构建全要素保障体系</w:t>
          </w:r>
          <w:r>
            <w:rPr>
              <w:b w:val="0"/>
              <w:bCs w:val="0"/>
            </w:rPr>
            <w:tab/>
          </w:r>
          <w:r>
            <w:rPr>
              <w:b w:val="0"/>
              <w:bCs w:val="0"/>
            </w:rPr>
            <w:fldChar w:fldCharType="begin"/>
          </w:r>
          <w:r>
            <w:rPr>
              <w:b w:val="0"/>
              <w:bCs w:val="0"/>
            </w:rPr>
            <w:instrText xml:space="preserve"> PAGEREF _Toc80366812 \h </w:instrText>
          </w:r>
          <w:r>
            <w:rPr>
              <w:b w:val="0"/>
              <w:bCs w:val="0"/>
            </w:rPr>
            <w:fldChar w:fldCharType="separate"/>
          </w:r>
          <w:r>
            <w:rPr>
              <w:b w:val="0"/>
              <w:bCs w:val="0"/>
            </w:rPr>
            <w:t>29</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"_Toc80366813" </w:instrText>
          </w:r>
          <w:r>
            <w:fldChar w:fldCharType="separate"/>
          </w:r>
          <w:r>
            <w:rPr>
              <w:rStyle w:val="21"/>
              <w:b w:val="0"/>
              <w:bCs w:val="0"/>
            </w:rPr>
            <w:t>（三）确立极优的发展环境</w:t>
          </w:r>
          <w:r>
            <w:rPr>
              <w:b w:val="0"/>
              <w:bCs w:val="0"/>
            </w:rPr>
            <w:tab/>
          </w:r>
          <w:r>
            <w:rPr>
              <w:b w:val="0"/>
              <w:bCs w:val="0"/>
            </w:rPr>
            <w:fldChar w:fldCharType="begin"/>
          </w:r>
          <w:r>
            <w:rPr>
              <w:b w:val="0"/>
              <w:bCs w:val="0"/>
            </w:rPr>
            <w:instrText xml:space="preserve"> PAGEREF _Toc80366813 \h </w:instrText>
          </w:r>
          <w:r>
            <w:rPr>
              <w:b w:val="0"/>
              <w:bCs w:val="0"/>
            </w:rPr>
            <w:fldChar w:fldCharType="separate"/>
          </w:r>
          <w:r>
            <w:rPr>
              <w:b w:val="0"/>
              <w:bCs w:val="0"/>
            </w:rPr>
            <w:t>30</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"_Toc80366814" </w:instrText>
          </w:r>
          <w:r>
            <w:fldChar w:fldCharType="separate"/>
          </w:r>
          <w:r>
            <w:rPr>
              <w:rStyle w:val="21"/>
              <w:b w:val="0"/>
              <w:bCs w:val="0"/>
            </w:rPr>
            <w:t>（四）建立强力组织实施机制</w:t>
          </w:r>
          <w:r>
            <w:rPr>
              <w:b w:val="0"/>
              <w:bCs w:val="0"/>
            </w:rPr>
            <w:tab/>
          </w:r>
          <w:r>
            <w:rPr>
              <w:b w:val="0"/>
              <w:bCs w:val="0"/>
            </w:rPr>
            <w:fldChar w:fldCharType="begin"/>
          </w:r>
          <w:r>
            <w:rPr>
              <w:b w:val="0"/>
              <w:bCs w:val="0"/>
            </w:rPr>
            <w:instrText xml:space="preserve"> PAGEREF _Toc80366814 \h </w:instrText>
          </w:r>
          <w:r>
            <w:rPr>
              <w:b w:val="0"/>
              <w:bCs w:val="0"/>
            </w:rPr>
            <w:fldChar w:fldCharType="separate"/>
          </w:r>
          <w:r>
            <w:rPr>
              <w:b w:val="0"/>
              <w:bCs w:val="0"/>
            </w:rPr>
            <w:t>32</w:t>
          </w:r>
          <w:r>
            <w:rPr>
              <w:b w:val="0"/>
              <w:bCs w:val="0"/>
            </w:rPr>
            <w:fldChar w:fldCharType="end"/>
          </w:r>
          <w:r>
            <w:rPr>
              <w:b w:val="0"/>
              <w:bCs w:val="0"/>
            </w:rPr>
            <w:fldChar w:fldCharType="end"/>
          </w:r>
        </w:p>
        <w:p>
          <w:pPr>
            <w:pStyle w:val="11"/>
            <w:tabs>
              <w:tab w:val="right" w:leader="dot" w:pos="8296"/>
            </w:tabs>
            <w:spacing w:line="360" w:lineRule="auto"/>
            <w:rPr>
              <w:sz w:val="30"/>
              <w:szCs w:val="30"/>
            </w:rPr>
          </w:pPr>
          <w:r>
            <w:fldChar w:fldCharType="begin"/>
          </w:r>
          <w:r>
            <w:instrText xml:space="preserve"> HYPERLINK \l "_Toc80366815" </w:instrText>
          </w:r>
          <w:r>
            <w:fldChar w:fldCharType="separate"/>
          </w:r>
          <w:r>
            <w:rPr>
              <w:rStyle w:val="21"/>
              <w:rFonts w:ascii="Times New Roman" w:hAnsi="Times New Roman" w:eastAsia="黑体" w:cs="Times New Roman"/>
              <w:sz w:val="30"/>
              <w:szCs w:val="30"/>
            </w:rPr>
            <w:t>附表</w:t>
          </w:r>
          <w:r>
            <w:rPr>
              <w:sz w:val="30"/>
              <w:szCs w:val="30"/>
            </w:rPr>
            <w:tab/>
          </w:r>
          <w:r>
            <w:rPr>
              <w:sz w:val="30"/>
              <w:szCs w:val="30"/>
            </w:rPr>
            <w:fldChar w:fldCharType="begin"/>
          </w:r>
          <w:r>
            <w:rPr>
              <w:sz w:val="30"/>
              <w:szCs w:val="30"/>
            </w:rPr>
            <w:instrText xml:space="preserve"> PAGEREF _Toc80366815 \h </w:instrText>
          </w:r>
          <w:r>
            <w:rPr>
              <w:sz w:val="30"/>
              <w:szCs w:val="30"/>
            </w:rPr>
            <w:fldChar w:fldCharType="separate"/>
          </w:r>
          <w:r>
            <w:rPr>
              <w:sz w:val="30"/>
              <w:szCs w:val="30"/>
            </w:rPr>
            <w:t>34</w:t>
          </w:r>
          <w:r>
            <w:rPr>
              <w:sz w:val="30"/>
              <w:szCs w:val="30"/>
            </w:rPr>
            <w:fldChar w:fldCharType="end"/>
          </w:r>
          <w:r>
            <w:rPr>
              <w:sz w:val="30"/>
              <w:szCs w:val="3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"_Toc80366816" </w:instrText>
          </w:r>
          <w:r>
            <w:fldChar w:fldCharType="separate"/>
          </w:r>
          <w:r>
            <w:rPr>
              <w:rStyle w:val="21"/>
              <w:b w:val="0"/>
              <w:bCs w:val="0"/>
            </w:rPr>
            <w:t>附表1： “十四五”时期玉环市数字经济发展重点项目表</w:t>
          </w:r>
          <w:r>
            <w:rPr>
              <w:b w:val="0"/>
              <w:bCs w:val="0"/>
            </w:rPr>
            <w:tab/>
          </w:r>
          <w:r>
            <w:rPr>
              <w:b w:val="0"/>
              <w:bCs w:val="0"/>
            </w:rPr>
            <w:fldChar w:fldCharType="begin"/>
          </w:r>
          <w:r>
            <w:rPr>
              <w:b w:val="0"/>
              <w:bCs w:val="0"/>
            </w:rPr>
            <w:instrText xml:space="preserve"> PAGEREF _Toc80366816 \h </w:instrText>
          </w:r>
          <w:r>
            <w:rPr>
              <w:b w:val="0"/>
              <w:bCs w:val="0"/>
            </w:rPr>
            <w:fldChar w:fldCharType="separate"/>
          </w:r>
          <w:r>
            <w:rPr>
              <w:b w:val="0"/>
              <w:bCs w:val="0"/>
            </w:rPr>
            <w:t>34</w:t>
          </w:r>
          <w:r>
            <w:rPr>
              <w:b w:val="0"/>
              <w:bCs w:val="0"/>
            </w:rPr>
            <w:fldChar w:fldCharType="end"/>
          </w:r>
          <w:r>
            <w:rPr>
              <w:b w:val="0"/>
              <w:bCs w:val="0"/>
            </w:rPr>
            <w:fldChar w:fldCharType="end"/>
          </w:r>
        </w:p>
        <w:p>
          <w:pPr>
            <w:pStyle w:val="13"/>
            <w:spacing w:line="360" w:lineRule="auto"/>
            <w:rPr>
              <w:rFonts w:asciiTheme="minorHAnsi" w:hAnsiTheme="minorHAnsi" w:eastAsiaTheme="minorEastAsia" w:cstheme="minorBidi"/>
              <w:b w:val="0"/>
              <w:bCs w:val="0"/>
            </w:rPr>
          </w:pPr>
          <w:r>
            <w:fldChar w:fldCharType="begin"/>
          </w:r>
          <w:r>
            <w:instrText xml:space="preserve"> HYPERLINK \l "_Toc80366817" </w:instrText>
          </w:r>
          <w:r>
            <w:fldChar w:fldCharType="separate"/>
          </w:r>
          <w:r>
            <w:rPr>
              <w:rStyle w:val="21"/>
              <w:b w:val="0"/>
              <w:bCs w:val="0"/>
            </w:rPr>
            <w:t>附表2 ：“十四五”时期玉环市数字经济发展重点任务分解表</w:t>
          </w:r>
          <w:r>
            <w:rPr>
              <w:b w:val="0"/>
              <w:bCs w:val="0"/>
            </w:rPr>
            <w:tab/>
          </w:r>
          <w:r>
            <w:rPr>
              <w:b w:val="0"/>
              <w:bCs w:val="0"/>
            </w:rPr>
            <w:fldChar w:fldCharType="begin"/>
          </w:r>
          <w:r>
            <w:rPr>
              <w:b w:val="0"/>
              <w:bCs w:val="0"/>
            </w:rPr>
            <w:instrText xml:space="preserve"> PAGEREF _Toc80366817 \h </w:instrText>
          </w:r>
          <w:r>
            <w:rPr>
              <w:b w:val="0"/>
              <w:bCs w:val="0"/>
            </w:rPr>
            <w:fldChar w:fldCharType="separate"/>
          </w:r>
          <w:r>
            <w:rPr>
              <w:b w:val="0"/>
              <w:bCs w:val="0"/>
            </w:rPr>
            <w:t>37</w:t>
          </w:r>
          <w:r>
            <w:rPr>
              <w:b w:val="0"/>
              <w:bCs w:val="0"/>
            </w:rPr>
            <w:fldChar w:fldCharType="end"/>
          </w:r>
          <w:r>
            <w:rPr>
              <w:b w:val="0"/>
              <w:bCs w:val="0"/>
            </w:rPr>
            <w:fldChar w:fldCharType="end"/>
          </w:r>
        </w:p>
        <w:p>
          <w:pPr>
            <w:spacing w:line="360" w:lineRule="auto"/>
            <w:rPr>
              <w:rFonts w:ascii="Times New Roman" w:hAnsi="Times New Roman" w:cs="Times New Roman"/>
            </w:rPr>
          </w:pPr>
          <w:r>
            <w:rPr>
              <w:rFonts w:ascii="Times New Roman" w:hAnsi="Times New Roman" w:cs="Times New Roman"/>
              <w:sz w:val="30"/>
              <w:szCs w:val="30"/>
              <w:lang w:val="zh-CN"/>
            </w:rPr>
            <w:fldChar w:fldCharType="end"/>
          </w:r>
        </w:p>
      </w:sdtContent>
    </w:sdt>
    <w:p>
      <w:pPr>
        <w:widowControl/>
        <w:spacing w:line="360" w:lineRule="auto"/>
        <w:jc w:val="left"/>
        <w:rPr>
          <w:rFonts w:ascii="Times New Roman" w:hAnsi="Times New Roman" w:eastAsia="黑体" w:cs="Times New Roman"/>
          <w:sz w:val="32"/>
          <w:szCs w:val="32"/>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pPr>
        <w:tabs>
          <w:tab w:val="left" w:pos="346"/>
        </w:tabs>
        <w:spacing w:line="360" w:lineRule="auto"/>
        <w:jc w:val="center"/>
        <w:outlineLvl w:val="0"/>
        <w:rPr>
          <w:rFonts w:ascii="Times New Roman" w:hAnsi="Times New Roman" w:eastAsia="黑体" w:cs="Times New Roman"/>
          <w:sz w:val="32"/>
          <w:szCs w:val="32"/>
        </w:rPr>
      </w:pPr>
      <w:bookmarkStart w:id="1" w:name="_Toc80366788"/>
      <w:r>
        <w:rPr>
          <w:rFonts w:ascii="Times New Roman" w:hAnsi="Times New Roman" w:eastAsia="黑体" w:cs="Times New Roman"/>
          <w:sz w:val="32"/>
          <w:szCs w:val="32"/>
        </w:rPr>
        <w:t>前 言</w:t>
      </w:r>
      <w:bookmarkEnd w:id="1"/>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十三五”时期，玉环全市上下在市委市政府的坚强领导下，认真贯彻落实省委省政府、台州市委市政府关于发展数字经济的部署，深入实施数字经济“一号工程”。截至“十三五”末，全市数字核心产业培育大突破、制造业数字化转型快提速、“两化”创新驱动强提质、产业发展环境大优化、数字基建支撑快部署，数字经济成为支撑玉环高质量发展的新动能，展现了全省数字经济“一号工程”建设的玉环精彩。</w:t>
      </w:r>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十四五”时期，新一轮科技革命和产业变革将走向更深层次，我国数字经济与数字社会进入全面发展新阶段。全省数字化改革全面推进，数字经济“一号工程”进一步深化，台州将建成工业4.0标杆城市，政策红利加码释放。“十四五”时期，玉环加速步入面向高质量的工业提升期、数字化融合期、城市化转型期、市场化攻坚期和公共服务体系加速提质期，开启争当社会主义现代化先行者的黄金期。</w:t>
      </w:r>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根据《浙江省数字经济发展促进条例》《浙江省数字经济发展“十四五”规划》《台州市</w:t>
      </w:r>
      <w:bookmarkStart w:id="2" w:name="_Hlk62149035"/>
      <w:r>
        <w:rPr>
          <w:rFonts w:ascii="Times New Roman" w:hAnsi="Times New Roman" w:eastAsia="仿宋_GB2312" w:cs="Times New Roman"/>
          <w:sz w:val="32"/>
          <w:szCs w:val="36"/>
        </w:rPr>
        <w:t>打造中国“工业4.0”标杆城市行动计划</w:t>
      </w:r>
      <w:bookmarkEnd w:id="2"/>
      <w:r>
        <w:rPr>
          <w:rFonts w:ascii="Times New Roman" w:hAnsi="Times New Roman" w:eastAsia="仿宋_GB2312" w:cs="Times New Roman"/>
          <w:sz w:val="32"/>
          <w:szCs w:val="36"/>
        </w:rPr>
        <w:t>（2021-2025年）》《玉环市国民经济和社会发展第十四个五年规划和二</w:t>
      </w:r>
      <w:r>
        <w:rPr>
          <w:rFonts w:ascii="Times New Roman" w:hAnsi="Times New Roman" w:eastAsia="微软雅黑" w:cs="Times New Roman"/>
          <w:sz w:val="32"/>
          <w:szCs w:val="36"/>
        </w:rPr>
        <w:t>〇</w:t>
      </w:r>
      <w:r>
        <w:rPr>
          <w:rFonts w:ascii="Times New Roman" w:hAnsi="Times New Roman" w:eastAsia="仿宋_GB2312" w:cs="Times New Roman"/>
          <w:sz w:val="32"/>
          <w:szCs w:val="36"/>
        </w:rPr>
        <w:t>三五年远景目标纲要》等文件精神，结合玉环发展实际，制定本规划。本规划是指导全市数字经济发展的纲领性文件。规划期为2021-2025年。</w:t>
      </w:r>
    </w:p>
    <w:p>
      <w:pPr>
        <w:widowControl/>
        <w:jc w:val="left"/>
        <w:rPr>
          <w:rFonts w:ascii="Times New Roman" w:hAnsi="Times New Roman" w:eastAsia="仿宋_GB2312" w:cs="Times New Roman"/>
          <w:sz w:val="32"/>
          <w:szCs w:val="36"/>
        </w:rPr>
      </w:pPr>
      <w:r>
        <w:rPr>
          <w:rFonts w:ascii="Times New Roman" w:hAnsi="Times New Roman" w:eastAsia="仿宋_GB2312" w:cs="Times New Roman"/>
          <w:sz w:val="32"/>
          <w:szCs w:val="36"/>
        </w:rPr>
        <w:br w:type="page"/>
      </w:r>
    </w:p>
    <w:p>
      <w:pPr>
        <w:spacing w:line="360" w:lineRule="auto"/>
        <w:ind w:firstLine="640" w:firstLineChars="200"/>
        <w:outlineLvl w:val="0"/>
        <w:rPr>
          <w:rFonts w:ascii="Times New Roman" w:hAnsi="Times New Roman" w:eastAsia="黑体" w:cs="Times New Roman"/>
          <w:sz w:val="32"/>
          <w:szCs w:val="32"/>
        </w:rPr>
      </w:pPr>
      <w:bookmarkStart w:id="3" w:name="_Toc80366789"/>
      <w:r>
        <w:rPr>
          <w:rFonts w:ascii="Times New Roman" w:hAnsi="Times New Roman" w:eastAsia="黑体" w:cs="Times New Roman"/>
          <w:sz w:val="32"/>
          <w:szCs w:val="32"/>
        </w:rPr>
        <w:t>一、“十三五”回顾</w:t>
      </w:r>
      <w:bookmarkEnd w:id="3"/>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时期，我市始终坚持产业数字化和数字产业化并进，数字经济发展取得了显著成效，有力的加速了全市新旧动能接续转换的进程。根据2020年度全省数字经济综合评价报告，我市数字经济发展评价指数上升至72.1，位列全省县（市区）第50、县级市第12、台州第3，较好的完成了进入全省中游的阶段性目标。</w:t>
      </w:r>
    </w:p>
    <w:p>
      <w:pPr>
        <w:spacing w:line="360" w:lineRule="auto"/>
        <w:ind w:firstLine="643" w:firstLineChars="200"/>
        <w:outlineLvl w:val="1"/>
        <w:rPr>
          <w:rFonts w:ascii="Times New Roman" w:hAnsi="Times New Roman" w:eastAsia="楷体_GB2312" w:cs="Times New Roman"/>
          <w:b/>
          <w:bCs/>
          <w:sz w:val="32"/>
          <w:szCs w:val="32"/>
        </w:rPr>
      </w:pPr>
      <w:bookmarkStart w:id="4" w:name="_Toc80366790"/>
      <w:r>
        <w:rPr>
          <w:rFonts w:ascii="Times New Roman" w:hAnsi="Times New Roman" w:eastAsia="楷体_GB2312" w:cs="Times New Roman"/>
          <w:b/>
          <w:bCs/>
          <w:sz w:val="32"/>
          <w:szCs w:val="32"/>
        </w:rPr>
        <w:t>（一）</w:t>
      </w:r>
      <w:bookmarkStart w:id="5" w:name="_Toc55489128"/>
      <w:bookmarkStart w:id="6" w:name="_Toc55934702"/>
      <w:bookmarkStart w:id="7" w:name="_Toc55513657"/>
      <w:r>
        <w:rPr>
          <w:rFonts w:ascii="Times New Roman" w:hAnsi="Times New Roman" w:eastAsia="楷体_GB2312" w:cs="Times New Roman"/>
          <w:b/>
          <w:bCs/>
          <w:sz w:val="32"/>
          <w:szCs w:val="32"/>
        </w:rPr>
        <w:t>数字产业化突破，核心产业培育成效初显</w:t>
      </w:r>
      <w:bookmarkEnd w:id="4"/>
      <w:bookmarkEnd w:id="5"/>
      <w:bookmarkEnd w:id="6"/>
      <w:bookmarkEnd w:id="7"/>
      <w:r>
        <w:rPr>
          <w:rFonts w:ascii="Times New Roman" w:hAnsi="Times New Roman" w:eastAsia="楷体_GB2312" w:cs="Times New Roman"/>
          <w:b/>
          <w:bCs/>
          <w:sz w:val="32"/>
          <w:szCs w:val="32"/>
        </w:rPr>
        <w:t xml:space="preserve"> </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期间，我市以存量提升促动能转换、以新项目招引带动新动能构建，琦星智能、晶科能源等优势企业规模提升，里阳半导体、腾讯云等一批重点项目陆续落地，初步形成了以伺服电机、工业机器人、半导体、专用电子设备等为主体的</w:t>
      </w:r>
      <w:r>
        <w:rPr>
          <w:rFonts w:hint="eastAsia" w:ascii="Times New Roman" w:hAnsi="Times New Roman" w:eastAsia="仿宋_GB2312" w:cs="Times New Roman"/>
          <w:sz w:val="32"/>
          <w:szCs w:val="32"/>
        </w:rPr>
        <w:t>核心产业，</w:t>
      </w:r>
      <w:r>
        <w:rPr>
          <w:rFonts w:ascii="Times New Roman" w:hAnsi="Times New Roman" w:eastAsia="仿宋_GB2312" w:cs="Times New Roman"/>
          <w:sz w:val="32"/>
          <w:szCs w:val="32"/>
        </w:rPr>
        <w:t>2家企业列入台州市电子信息产业百强企业。数字经济核心产业培育成效明显，截至2019年底，全市完成规上数字经济核心产业增加值15.88亿元，</w:t>
      </w:r>
      <w:bookmarkStart w:id="8" w:name="_Hlk48671774"/>
      <w:r>
        <w:rPr>
          <w:rFonts w:ascii="Times New Roman" w:hAnsi="Times New Roman" w:eastAsia="仿宋_GB2312" w:cs="Times New Roman"/>
          <w:sz w:val="32"/>
          <w:szCs w:val="32"/>
        </w:rPr>
        <w:t>较2017年增长22.91%；</w:t>
      </w:r>
      <w:bookmarkEnd w:id="8"/>
      <w:r>
        <w:rPr>
          <w:rFonts w:ascii="Times New Roman" w:hAnsi="Times New Roman" w:eastAsia="仿宋_GB2312" w:cs="Times New Roman"/>
          <w:sz w:val="32"/>
          <w:szCs w:val="32"/>
        </w:rPr>
        <w:t>实现电子信息制造业主营业务收入29.09亿元、软件和信息服务主营业务收入10.94亿元，分别同比增长37.61%、1.50%。</w:t>
      </w:r>
    </w:p>
    <w:p>
      <w:pPr>
        <w:spacing w:line="360" w:lineRule="auto"/>
        <w:ind w:firstLine="643" w:firstLineChars="200"/>
        <w:outlineLvl w:val="1"/>
        <w:rPr>
          <w:rFonts w:ascii="Times New Roman" w:hAnsi="Times New Roman" w:eastAsia="楷体_GB2312" w:cs="Times New Roman"/>
          <w:b/>
          <w:bCs/>
          <w:sz w:val="32"/>
          <w:szCs w:val="32"/>
        </w:rPr>
      </w:pPr>
      <w:bookmarkStart w:id="9" w:name="_Toc80366791"/>
      <w:bookmarkStart w:id="10" w:name="_Toc55934703"/>
      <w:bookmarkStart w:id="11" w:name="_Toc55489129"/>
      <w:bookmarkStart w:id="12" w:name="_Toc55513658"/>
      <w:r>
        <w:rPr>
          <w:rFonts w:ascii="Times New Roman" w:hAnsi="Times New Roman" w:eastAsia="楷体_GB2312" w:cs="Times New Roman"/>
          <w:b/>
          <w:bCs/>
          <w:sz w:val="32"/>
          <w:szCs w:val="32"/>
        </w:rPr>
        <w:t>（二）产业数字化引领，制造业转型蝶变快提速</w:t>
      </w:r>
      <w:bookmarkEnd w:id="9"/>
      <w:bookmarkEnd w:id="10"/>
      <w:bookmarkEnd w:id="11"/>
      <w:bookmarkEnd w:id="12"/>
    </w:p>
    <w:p>
      <w:pPr>
        <w:spacing w:line="360" w:lineRule="auto"/>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“十三五”期间，我市将制造业数字化作为产业能级提升的抓手，协同推进两化深度融合、工业互联网、智能制造与技术改</w:t>
      </w:r>
      <w:r>
        <w:rPr>
          <w:rFonts w:ascii="Times New Roman" w:hAnsi="Times New Roman" w:eastAsia="仿宋_GB2312" w:cs="Times New Roman"/>
          <w:color w:val="000000"/>
          <w:sz w:val="32"/>
          <w:szCs w:val="32"/>
        </w:rPr>
        <w:t>造，驱动“玉环智造”升级</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2020年我市两化融合指数上升至90.06，位列全省县（市区）第38、</w:t>
      </w:r>
      <w:r>
        <w:rPr>
          <w:rFonts w:ascii="Times New Roman" w:hAnsi="Times New Roman" w:eastAsia="仿宋_GB2312" w:cs="Times New Roman"/>
          <w:sz w:val="32"/>
          <w:szCs w:val="32"/>
        </w:rPr>
        <w:t>县级市第12、</w:t>
      </w:r>
      <w:r>
        <w:rPr>
          <w:rFonts w:ascii="Times New Roman" w:hAnsi="Times New Roman" w:eastAsia="仿宋_GB2312" w:cs="Times New Roman"/>
          <w:color w:val="000000"/>
          <w:sz w:val="32"/>
          <w:szCs w:val="32"/>
        </w:rPr>
        <w:t>台州第3。截至2020年底，全市完成企业上云4200家、智能化技术改造覆盖280余家规上工业企业，在役工业机器人超过500台；双环传动等2项列入</w:t>
      </w:r>
      <w:r>
        <w:rPr>
          <w:rFonts w:ascii="Times New Roman" w:hAnsi="Times New Roman" w:eastAsia="仿宋_GB2312" w:cs="Times New Roman"/>
          <w:sz w:val="32"/>
          <w:szCs w:val="32"/>
        </w:rPr>
        <w:t>国家智能制造专项和国家智能制造新模式应用示范；培育省级认定工业互联网平台1家，台州唯一；列入省级工业互联网平台创建名单3家、</w:t>
      </w:r>
      <w:r>
        <w:rPr>
          <w:rFonts w:ascii="Times New Roman" w:hAnsi="Times New Roman" w:eastAsia="仿宋_GB2312" w:cs="Times New Roman"/>
          <w:color w:val="000000"/>
          <w:sz w:val="32"/>
          <w:szCs w:val="32"/>
        </w:rPr>
        <w:t>省级制造业与互联网融合示范</w:t>
      </w:r>
      <w:r>
        <w:rPr>
          <w:rFonts w:ascii="Times New Roman" w:hAnsi="Times New Roman" w:eastAsia="仿宋_GB2312" w:cs="Times New Roman"/>
          <w:sz w:val="32"/>
          <w:szCs w:val="32"/>
        </w:rPr>
        <w:t>8家、省级智能工厂1家</w:t>
      </w:r>
      <w:r>
        <w:rPr>
          <w:rFonts w:ascii="Times New Roman" w:hAnsi="Times New Roman" w:eastAsia="仿宋_GB2312" w:cs="Times New Roman"/>
          <w:color w:val="000000"/>
          <w:sz w:val="32"/>
          <w:szCs w:val="32"/>
        </w:rPr>
        <w:t>。</w:t>
      </w:r>
    </w:p>
    <w:p>
      <w:pPr>
        <w:spacing w:line="360" w:lineRule="auto"/>
        <w:ind w:firstLine="643" w:firstLineChars="200"/>
        <w:outlineLvl w:val="1"/>
        <w:rPr>
          <w:rFonts w:ascii="Times New Roman" w:hAnsi="Times New Roman" w:eastAsia="楷体_GB2312" w:cs="Times New Roman"/>
          <w:b/>
          <w:bCs/>
          <w:sz w:val="32"/>
          <w:szCs w:val="32"/>
        </w:rPr>
      </w:pPr>
      <w:bookmarkStart w:id="13" w:name="_Toc80366792"/>
      <w:bookmarkStart w:id="14" w:name="_Toc55489130"/>
      <w:bookmarkStart w:id="15" w:name="_Toc55934704"/>
      <w:bookmarkStart w:id="16" w:name="_Toc55513659"/>
      <w:r>
        <w:rPr>
          <w:rFonts w:ascii="Times New Roman" w:hAnsi="Times New Roman" w:eastAsia="楷体_GB2312" w:cs="Times New Roman"/>
          <w:b/>
          <w:bCs/>
          <w:sz w:val="32"/>
          <w:szCs w:val="32"/>
        </w:rPr>
        <w:t>（三）“两化”协同创新提质，驱动催化效应显现</w:t>
      </w:r>
      <w:bookmarkEnd w:id="13"/>
      <w:bookmarkEnd w:id="14"/>
      <w:bookmarkEnd w:id="15"/>
      <w:bookmarkEnd w:id="16"/>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期间，我市把提升创新能力作为实现数字经济倍增发展的催化剂和加速器，围绕数字产业化发展和产业数字化应用实施系列以企业为核心的技术创新和应用创新项目，带动了数字经济整体“质”的提升。截至2019年底，全市拥有市级以上研发机构162家，其中高新技术企业研发中心147家，与清华大学、浙江大学、天津大学等高校合力建成玉环水暖阀门产业创新服务综合体、玉环汽车零部件产业创新服务综合体、天大玉环数控与智能制造技术创新中心等数字经济领域的“地方-企业-高校”协同创新平台。数字经济领域首创技术突破，双环传动“机器人高精密减速器”、海德曼“T65数控机床”等入选省内首台（套）重大技术装备，相关数字技术应用或研发应用的省级新产品试制计划立项累计34项、省级重点研发计划项目5项。</w:t>
      </w:r>
    </w:p>
    <w:p>
      <w:pPr>
        <w:spacing w:line="360" w:lineRule="auto"/>
        <w:ind w:firstLine="643" w:firstLineChars="200"/>
        <w:outlineLvl w:val="1"/>
        <w:rPr>
          <w:rFonts w:ascii="Times New Roman" w:hAnsi="Times New Roman" w:eastAsia="楷体_GB2312" w:cs="Times New Roman"/>
          <w:b/>
          <w:bCs/>
          <w:sz w:val="32"/>
          <w:szCs w:val="32"/>
        </w:rPr>
      </w:pPr>
      <w:bookmarkStart w:id="17" w:name="_Toc55934705"/>
      <w:bookmarkStart w:id="18" w:name="_Toc55489131"/>
      <w:bookmarkStart w:id="19" w:name="_Toc80366793"/>
      <w:bookmarkStart w:id="20" w:name="_Toc55513660"/>
      <w:r>
        <w:rPr>
          <w:rFonts w:ascii="Times New Roman" w:hAnsi="Times New Roman" w:eastAsia="楷体_GB2312" w:cs="Times New Roman"/>
          <w:b/>
          <w:bCs/>
          <w:sz w:val="32"/>
          <w:szCs w:val="32"/>
        </w:rPr>
        <w:t>（四）“软硬”产业环境改善，虹吸磁吸效应放大</w:t>
      </w:r>
      <w:bookmarkEnd w:id="17"/>
      <w:bookmarkEnd w:id="18"/>
      <w:bookmarkEnd w:id="19"/>
      <w:bookmarkEnd w:id="20"/>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十三五”期间，我市着力产业环境改善，以机制改革和政策优化营造“人才归心、企业放心”的软环境，严抓落实“五心”“妈妈式”服务等便企机制，出台《玉环市数字经济发展实施方案（2018-2022年）》《关于促进新时代美丽经济建设的若干意见》等政策措施。以畅通和平台打造改善产业硬环境，我市主动融入浙江大湾区战略，建成高速路网，缩短了连接杭州、宁波、温州等数字经济先进地区的距离；加快建设台州南部湾区核心创新区，成功创建省级高新技术产业园区，琦星机器人产业园、晶科光伏产业园、双环产业园、亿工场跨境电商产业园等一批重点数字经济核心园区建设提速。 </w:t>
      </w:r>
    </w:p>
    <w:p>
      <w:pPr>
        <w:spacing w:line="360" w:lineRule="auto"/>
        <w:ind w:firstLine="643" w:firstLineChars="200"/>
        <w:outlineLvl w:val="1"/>
        <w:rPr>
          <w:rFonts w:ascii="Times New Roman" w:hAnsi="Times New Roman" w:eastAsia="楷体_GB2312" w:cs="Times New Roman"/>
          <w:b/>
          <w:bCs/>
          <w:sz w:val="32"/>
          <w:szCs w:val="32"/>
        </w:rPr>
      </w:pPr>
      <w:bookmarkStart w:id="21" w:name="_Toc55513661"/>
      <w:bookmarkStart w:id="22" w:name="_Toc55489132"/>
      <w:bookmarkStart w:id="23" w:name="_Toc55934706"/>
      <w:bookmarkStart w:id="24" w:name="_Toc80366794"/>
      <w:r>
        <w:rPr>
          <w:rFonts w:ascii="Times New Roman" w:hAnsi="Times New Roman" w:eastAsia="楷体_GB2312" w:cs="Times New Roman"/>
          <w:b/>
          <w:bCs/>
          <w:sz w:val="32"/>
          <w:szCs w:val="32"/>
        </w:rPr>
        <w:t>（五）数字新基建部署加快，新业态新应用凸显</w:t>
      </w:r>
      <w:bookmarkEnd w:id="21"/>
      <w:bookmarkEnd w:id="22"/>
      <w:bookmarkEnd w:id="23"/>
      <w:bookmarkEnd w:id="24"/>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“十三五”期间，我市重点实施以4G、5G和光纤为主体的网络覆盖工程。截至2019年底，全市4G网络覆盖率达成97.7%，光纤网络覆盖100%行政村，实现全网千兆光口接入，总出口带宽已扩容至460G。2019年以来，全力推进</w:t>
      </w:r>
      <w:r>
        <w:rPr>
          <w:rFonts w:ascii="Times New Roman" w:hAnsi="Times New Roman" w:eastAsia="仿宋_GB2312" w:cs="Times New Roman"/>
          <w:color w:val="000000" w:themeColor="text1"/>
          <w:sz w:val="32"/>
          <w:szCs w:val="32"/>
          <w14:textFill>
            <w14:solidFill>
              <w14:schemeClr w14:val="tx1"/>
            </w14:solidFill>
          </w14:textFill>
        </w:rPr>
        <w:t>5G、数据中心等新型信息基础设施建设，制定出台《</w:t>
      </w:r>
      <w:r>
        <w:rPr>
          <w:rFonts w:ascii="Times New Roman" w:hAnsi="Times New Roman" w:eastAsia="仿宋_GB2312" w:cs="Times New Roman"/>
          <w:sz w:val="32"/>
          <w:szCs w:val="32"/>
        </w:rPr>
        <w:t>玉环市5G移动通信基站布局专项规划（2020-2025）</w:t>
      </w:r>
      <w:r>
        <w:rPr>
          <w:rFonts w:ascii="Times New Roman" w:hAnsi="Times New Roman" w:eastAsia="仿宋_GB2312" w:cs="Times New Roman"/>
          <w:color w:val="000000" w:themeColor="text1"/>
          <w:sz w:val="32"/>
          <w:szCs w:val="32"/>
          <w14:textFill>
            <w14:solidFill>
              <w14:schemeClr w14:val="tx1"/>
            </w14:solidFill>
          </w14:textFill>
        </w:rPr>
        <w:t>》和《加快布局建设5G移动通信基础设施和产业发展实施方案》，目前建成5G基站460</w:t>
      </w:r>
      <w:r>
        <w:rPr>
          <w:rFonts w:ascii="Times New Roman" w:hAnsi="Times New Roman" w:eastAsia="仿宋_GB2312" w:cs="Times New Roman"/>
          <w:sz w:val="32"/>
          <w:szCs w:val="32"/>
        </w:rPr>
        <w:t>个，</w:t>
      </w:r>
      <w:r>
        <w:rPr>
          <w:rFonts w:ascii="Times New Roman" w:hAnsi="Times New Roman" w:eastAsia="仿宋_GB2312" w:cs="Times New Roman"/>
          <w:color w:val="000000" w:themeColor="text1"/>
          <w:sz w:val="32"/>
          <w:szCs w:val="32"/>
          <w14:textFill>
            <w14:solidFill>
              <w14:schemeClr w14:val="tx1"/>
            </w14:solidFill>
          </w14:textFill>
        </w:rPr>
        <w:t>实现行政服务中心等重点公共服务场所基本覆盖</w:t>
      </w:r>
      <w:r>
        <w:rPr>
          <w:rFonts w:ascii="Times New Roman" w:hAnsi="Times New Roman" w:eastAsia="仿宋_GB2312" w:cs="Times New Roman"/>
          <w:sz w:val="32"/>
          <w:szCs w:val="32"/>
        </w:rPr>
        <w:t>。5G+智慧民生、医疗健康、工业生产等场景中的应用持续推进。在台州市率先实现全域公交银联、“便民玉环”APP、支付宝等移动支付全覆盖。</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“十三五”时期，我市不断加码发展数字经济，掌握了发展的主动权，但也要客观地认清我市数字经济发展进程中面临的难题和短板：</w:t>
      </w:r>
      <w:r>
        <w:rPr>
          <w:rFonts w:ascii="Times New Roman" w:hAnsi="Times New Roman" w:eastAsia="仿宋_GB2312" w:cs="Times New Roman"/>
          <w:b/>
          <w:bCs/>
          <w:sz w:val="32"/>
          <w:szCs w:val="32"/>
        </w:rPr>
        <w:t>一是产业培育有突破，但规模小、集群化态势未显现。</w:t>
      </w:r>
      <w:r>
        <w:rPr>
          <w:rFonts w:ascii="Times New Roman" w:hAnsi="Times New Roman" w:eastAsia="仿宋_GB2312" w:cs="Times New Roman"/>
          <w:sz w:val="32"/>
          <w:szCs w:val="32"/>
        </w:rPr>
        <w:t>伺服电机、工业机器人、半导体等数字经济核心产业企业少、行业规模小，缺乏具有引领和带动作用的大项目、大企业，制约着我市数字经济产业在短期内难以形成集群化规模化发展效应。</w:t>
      </w:r>
      <w:r>
        <w:rPr>
          <w:rFonts w:ascii="Times New Roman" w:hAnsi="Times New Roman" w:eastAsia="仿宋_GB2312" w:cs="Times New Roman"/>
          <w:b/>
          <w:bCs/>
          <w:sz w:val="32"/>
          <w:szCs w:val="32"/>
        </w:rPr>
        <w:t>二是发展氛围有优化，但创新驱动能力仍需加强。</w:t>
      </w:r>
      <w:r>
        <w:rPr>
          <w:rFonts w:ascii="Times New Roman" w:hAnsi="Times New Roman" w:eastAsia="仿宋_GB2312" w:cs="Times New Roman"/>
          <w:sz w:val="32"/>
          <w:szCs w:val="32"/>
        </w:rPr>
        <w:t>越来越多的企业重视数字技术与产品、制造技术的融合创新，但创新投入较小。同时囿于区位和创新平台不足，数字经济发展所需的创新型人才缺口较大。</w:t>
      </w:r>
      <w:r>
        <w:rPr>
          <w:rFonts w:ascii="Times New Roman" w:hAnsi="Times New Roman" w:eastAsia="仿宋_GB2312" w:cs="Times New Roman"/>
          <w:b/>
          <w:bCs/>
          <w:sz w:val="32"/>
          <w:szCs w:val="32"/>
        </w:rPr>
        <w:t>三是产业数字化有成效，但融合水平待提升。</w:t>
      </w:r>
      <w:r>
        <w:rPr>
          <w:rFonts w:ascii="Times New Roman" w:hAnsi="Times New Roman" w:eastAsia="仿宋_GB2312" w:cs="Times New Roman"/>
          <w:sz w:val="32"/>
          <w:szCs w:val="32"/>
        </w:rPr>
        <w:t>企业数字化转型成效明显，形成了一批省级示范试点项目，但多数中小企业向数字化转型的自身实力有限，动力不足。</w:t>
      </w:r>
      <w:r>
        <w:rPr>
          <w:rFonts w:ascii="Times New Roman" w:hAnsi="Times New Roman" w:eastAsia="仿宋_GB2312" w:cs="Times New Roman"/>
          <w:b/>
          <w:bCs/>
          <w:sz w:val="32"/>
          <w:szCs w:val="32"/>
        </w:rPr>
        <w:t>四是整体推进有进展，但认识和责任意识待提升。</w:t>
      </w:r>
      <w:r>
        <w:rPr>
          <w:rFonts w:ascii="Times New Roman" w:hAnsi="Times New Roman" w:eastAsia="仿宋_GB2312" w:cs="Times New Roman"/>
          <w:sz w:val="32"/>
          <w:szCs w:val="32"/>
        </w:rPr>
        <w:t>数字经济贯穿国民经济体系，需多部门全力协作，但部分政府部门和乡镇街道基层对数字经济的认识和重视程度不足、主动抓的意识缺位，制约了数字经济工作有效推进。</w:t>
      </w:r>
    </w:p>
    <w:p>
      <w:pPr>
        <w:spacing w:line="360" w:lineRule="auto"/>
        <w:ind w:firstLine="640" w:firstLineChars="200"/>
        <w:outlineLvl w:val="0"/>
        <w:rPr>
          <w:rFonts w:ascii="Times New Roman" w:hAnsi="Times New Roman" w:eastAsia="黑体" w:cs="Times New Roman"/>
          <w:sz w:val="32"/>
          <w:szCs w:val="32"/>
        </w:rPr>
      </w:pPr>
      <w:bookmarkStart w:id="25" w:name="_Toc80366795"/>
      <w:r>
        <w:rPr>
          <w:rFonts w:ascii="Times New Roman" w:hAnsi="Times New Roman" w:eastAsia="黑体" w:cs="Times New Roman"/>
          <w:sz w:val="32"/>
          <w:szCs w:val="32"/>
        </w:rPr>
        <w:t>二、“十四五”形势</w:t>
      </w:r>
      <w:bookmarkEnd w:id="25"/>
    </w:p>
    <w:p>
      <w:pPr>
        <w:spacing w:line="360" w:lineRule="auto"/>
        <w:ind w:firstLine="643" w:firstLineChars="200"/>
        <w:outlineLvl w:val="1"/>
        <w:rPr>
          <w:rFonts w:ascii="Times New Roman" w:hAnsi="Times New Roman" w:eastAsia="楷体_GB2312" w:cs="Times New Roman"/>
          <w:b/>
          <w:bCs/>
          <w:sz w:val="32"/>
          <w:szCs w:val="32"/>
        </w:rPr>
      </w:pPr>
      <w:bookmarkStart w:id="26" w:name="_Toc80366796"/>
      <w:r>
        <w:rPr>
          <w:rFonts w:ascii="Times New Roman" w:hAnsi="Times New Roman" w:eastAsia="楷体_GB2312" w:cs="Times New Roman"/>
          <w:b/>
          <w:bCs/>
          <w:sz w:val="32"/>
          <w:szCs w:val="32"/>
        </w:rPr>
        <w:t>（一）发展新环境</w:t>
      </w:r>
      <w:bookmarkEnd w:id="26"/>
    </w:p>
    <w:p>
      <w:pPr>
        <w:tabs>
          <w:tab w:val="left" w:pos="4962"/>
        </w:tabs>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从全球来看，新一轮科技革命与产业变革深入发展，数字经济与实体经济、社会发展深度融合引致生产力、生产关系加速重构，不遗余力发展数字经济已成为全球共识。“十四五”时期，全球政治经济格局调整愈加深化、国际经济环境愈发复杂，对全球化的数字经济产业链、供应链和创新链的冲击将存在更多不确定性，亦将加速以区域和国家为主体的数字经济补链强链建链进程。</w:t>
      </w:r>
    </w:p>
    <w:p>
      <w:pPr>
        <w:spacing w:line="360" w:lineRule="auto"/>
        <w:ind w:firstLine="640" w:firstLineChars="200"/>
        <w:rPr>
          <w:rFonts w:ascii="Times New Roman" w:hAnsi="Times New Roman" w:eastAsia="微软雅黑" w:cs="Times New Roman"/>
          <w:color w:val="606060"/>
          <w:szCs w:val="21"/>
        </w:rPr>
      </w:pPr>
      <w:r>
        <w:rPr>
          <w:rFonts w:ascii="Times New Roman" w:hAnsi="Times New Roman" w:eastAsia="仿宋_GB2312" w:cs="Times New Roman"/>
          <w:sz w:val="32"/>
          <w:szCs w:val="32"/>
        </w:rPr>
        <w:t xml:space="preserve">从全国来看，作为全球最大的单体市场和信息化发展大国，我国有力的抓住了新科技革命的第一个五年，成为全球数字经济大国。2019年，我国数字经济总量达到39.8万亿元，占GDP的比重达36.2%。蓬勃发展的数字经济成为我国应对经济下行压力、实现新旧动能接续转换、迈向高质量发展的关键动力。国家《“十四五”规划和2035年远景目标刚要》中明确提出建设网络强国，大力发展数字经济，加强数字经济领域的投入、倾力数字经济发展已然成为我国和各省市的经济战略，也是长三角区域一体化国家战略的重要内容。 </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从浙江来看，作为数字经济发展先行省份，省委省政府出台全国首部《浙江省数字经济发展促进条例》，以立法的形式明确了数字经济发展长期战略。2020年8月，省政府适应新变化，制定出台了《深入实施数字经济“一号工程”的若干意见》，提出打造聚焦“五新”数字经济2.0版的愿景；2021年省委全省数字化改革大会明确了以数字化带动各领域改革的路径和部署。台州市出台《打造中国“工业4.0”标杆城市行动计划》。数字经济将引领全省“十四五”时期的经济社会发展，各地市和县区亦将加紧谋划新一轮数字经济布局，持续迭代升级数字经济政策，区域间竞合并存的特征将更加明显。</w:t>
      </w:r>
    </w:p>
    <w:p>
      <w:pPr>
        <w:spacing w:line="360" w:lineRule="auto"/>
        <w:ind w:firstLine="643" w:firstLineChars="200"/>
        <w:outlineLvl w:val="1"/>
        <w:rPr>
          <w:rFonts w:ascii="Times New Roman" w:hAnsi="Times New Roman" w:eastAsia="楷体_GB2312" w:cs="Times New Roman"/>
          <w:b/>
          <w:bCs/>
          <w:sz w:val="32"/>
          <w:szCs w:val="32"/>
        </w:rPr>
      </w:pPr>
      <w:bookmarkStart w:id="27" w:name="_Toc80366797"/>
      <w:r>
        <w:rPr>
          <w:rFonts w:ascii="Times New Roman" w:hAnsi="Times New Roman" w:eastAsia="楷体_GB2312" w:cs="Times New Roman"/>
          <w:b/>
          <w:bCs/>
          <w:sz w:val="32"/>
          <w:szCs w:val="32"/>
        </w:rPr>
        <w:t>（二）面临新形势</w:t>
      </w:r>
      <w:bookmarkEnd w:id="27"/>
    </w:p>
    <w:p>
      <w:pPr>
        <w:pStyle w:val="31"/>
        <w:spacing w:line="360" w:lineRule="auto"/>
        <w:ind w:firstLine="643"/>
        <w:outlineLvl w:val="9"/>
        <w:rPr>
          <w:rFonts w:ascii="Times New Roman"/>
        </w:rPr>
      </w:pPr>
      <w:bookmarkStart w:id="28" w:name="_Toc55513666"/>
      <w:bookmarkStart w:id="29" w:name="_Toc55489137"/>
      <w:bookmarkStart w:id="30" w:name="_Toc55934711"/>
      <w:r>
        <w:rPr>
          <w:rFonts w:ascii="Times New Roman"/>
          <w:lang w:val="en-US"/>
        </w:rPr>
        <w:t>1. “双循环”新发展格局释放新潜能</w:t>
      </w:r>
      <w:bookmarkEnd w:id="28"/>
      <w:bookmarkEnd w:id="29"/>
      <w:bookmarkEnd w:id="30"/>
      <w:r>
        <w:rPr>
          <w:rFonts w:ascii="Times New Roman"/>
          <w:lang w:val="en-US"/>
        </w:rPr>
        <w:t>。</w:t>
      </w:r>
      <w:r>
        <w:rPr>
          <w:rFonts w:ascii="Times New Roman"/>
          <w:b w:val="0"/>
          <w:bCs w:val="0"/>
        </w:rPr>
        <w:t>在国内外环境发生显著变化的大背景下，党中央作出“构建以国内大循环为主体、国内国际双循环相互促进的新发展格局”的重大决断，国内消费巨大空间潜力进一步发挥，作为数字经济后发地区和外向型经济地区，我市将瞄准国内市场需求和消费升级经济部署数字经济新产品研发。同时，双循环格局的确立将驱动外部市场更深层次调整，面向我国数字经济产业链核心环节的合作将进一步凸显，浙台（玉环）经贸合作区作为浙江省四个对台经贸合作区之一，</w:t>
      </w:r>
      <w:r>
        <w:rPr>
          <w:rFonts w:hint="eastAsia" w:ascii="Times New Roman"/>
          <w:b w:val="0"/>
          <w:bCs w:val="0"/>
        </w:rPr>
        <w:t>我市将以浙台（玉环）经贸合作区为窗口，共享全球数字经济细分产业合作的红利</w:t>
      </w:r>
      <w:r>
        <w:rPr>
          <w:rFonts w:ascii="Times New Roman"/>
          <w:b w:val="0"/>
          <w:bCs w:val="0"/>
        </w:rPr>
        <w:t>。</w:t>
      </w:r>
    </w:p>
    <w:p>
      <w:pPr>
        <w:pStyle w:val="31"/>
        <w:spacing w:line="360" w:lineRule="auto"/>
        <w:ind w:firstLine="643"/>
        <w:outlineLvl w:val="9"/>
        <w:rPr>
          <w:rFonts w:ascii="Times New Roman"/>
          <w:b w:val="0"/>
          <w:bCs w:val="0"/>
        </w:rPr>
      </w:pPr>
      <w:bookmarkStart w:id="31" w:name="_Toc55513667"/>
      <w:bookmarkStart w:id="32" w:name="_Toc55934712"/>
      <w:bookmarkStart w:id="33" w:name="_Toc55489138"/>
      <w:r>
        <w:rPr>
          <w:rFonts w:ascii="Times New Roman"/>
        </w:rPr>
        <w:t>2. 区域一体化叠加大湾区战略注入新活力</w:t>
      </w:r>
      <w:bookmarkEnd w:id="31"/>
      <w:bookmarkEnd w:id="32"/>
      <w:bookmarkEnd w:id="33"/>
      <w:r>
        <w:rPr>
          <w:rFonts w:ascii="Times New Roman"/>
        </w:rPr>
        <w:t>。</w:t>
      </w:r>
      <w:r>
        <w:rPr>
          <w:rFonts w:ascii="Times New Roman"/>
          <w:b w:val="0"/>
          <w:bCs w:val="0"/>
        </w:rPr>
        <w:t>长三角区域一体化、浙江大湾区和省“四大”建设，均将数字经济作为区域合作和地市合作的重要内容或拓展方向，创业创新资源流动、政策红利溢出和合作网络加密将得到进一步强化。我市作为连接温州都市区与台州-宁波都市区的关键节点，有机嵌入长三角区域一体化战略，同时作为台州湾区南部增长极和省大花园建设东南阵地，有望在数字经济重大产业要素配置、基础设施布局等方面共享战略和政策红利，为数字经济助力我市新竞争优势提供重要区域发展机遇。</w:t>
      </w:r>
    </w:p>
    <w:p>
      <w:pPr>
        <w:pStyle w:val="31"/>
        <w:spacing w:line="360" w:lineRule="auto"/>
        <w:ind w:firstLine="643"/>
        <w:jc w:val="both"/>
        <w:outlineLvl w:val="9"/>
        <w:rPr>
          <w:rFonts w:ascii="Times New Roman" w:eastAsia="楷体_GB2312"/>
          <w:b w:val="0"/>
          <w:bCs w:val="0"/>
        </w:rPr>
      </w:pPr>
      <w:bookmarkStart w:id="34" w:name="_Toc55934713"/>
      <w:bookmarkStart w:id="35" w:name="_Toc55489139"/>
      <w:bookmarkStart w:id="36" w:name="_Toc55513668"/>
      <w:r>
        <w:rPr>
          <w:rFonts w:ascii="Times New Roman"/>
        </w:rPr>
        <w:t>3. 传统产业迫切数字化转型提供新动力</w:t>
      </w:r>
      <w:bookmarkEnd w:id="34"/>
      <w:bookmarkEnd w:id="35"/>
      <w:bookmarkEnd w:id="36"/>
      <w:r>
        <w:rPr>
          <w:rFonts w:ascii="Times New Roman"/>
        </w:rPr>
        <w:t>。</w:t>
      </w:r>
      <w:r>
        <w:rPr>
          <w:rFonts w:ascii="Times New Roman"/>
          <w:b w:val="0"/>
          <w:bCs w:val="0"/>
        </w:rPr>
        <w:t>转变发展方式、优化经济结构、转换增长动力、促进高质量发展将贯穿“十四五”时期，而信息技术跨界应用为传统产业转换方向方式提供了通道。作为传统工业大市，我市13000多家民营中小企业将进入迫切数字化转型的阶段，本地化市场释放将进一步倒逼我市数字化服务供给，为数字经济市场主体培育提供了机遇。以5G、工业互联网、云数据中心、人工智能等为重点的新型基础设施将进入大规模部署阶段，省政府启动实施新基建“NI10000计划”，将为我市产业数字化发展提供坚实的基础。</w:t>
      </w:r>
    </w:p>
    <w:p>
      <w:pPr>
        <w:spacing w:line="360" w:lineRule="auto"/>
        <w:ind w:firstLine="640" w:firstLineChars="200"/>
        <w:outlineLvl w:val="0"/>
        <w:rPr>
          <w:rFonts w:ascii="Times New Roman" w:hAnsi="Times New Roman" w:eastAsia="黑体" w:cs="Times New Roman"/>
          <w:sz w:val="32"/>
          <w:szCs w:val="32"/>
        </w:rPr>
      </w:pPr>
      <w:bookmarkStart w:id="37" w:name="_Toc80366798"/>
      <w:r>
        <w:rPr>
          <w:rFonts w:ascii="Times New Roman" w:hAnsi="Times New Roman" w:eastAsia="黑体" w:cs="Times New Roman"/>
          <w:sz w:val="32"/>
          <w:szCs w:val="32"/>
        </w:rPr>
        <w:t>三、总体要求</w:t>
      </w:r>
      <w:bookmarkEnd w:id="37"/>
      <w:r>
        <w:rPr>
          <w:rFonts w:ascii="Times New Roman" w:hAnsi="Times New Roman" w:eastAsia="黑体" w:cs="Times New Roman"/>
          <w:sz w:val="32"/>
          <w:szCs w:val="32"/>
        </w:rPr>
        <w:t xml:space="preserve"> </w:t>
      </w:r>
    </w:p>
    <w:p>
      <w:pPr>
        <w:spacing w:line="360" w:lineRule="auto"/>
        <w:ind w:firstLine="643" w:firstLineChars="200"/>
        <w:outlineLvl w:val="1"/>
        <w:rPr>
          <w:rFonts w:ascii="Times New Roman" w:hAnsi="Times New Roman" w:eastAsia="楷体_GB2312" w:cs="Times New Roman"/>
          <w:b/>
          <w:bCs/>
          <w:sz w:val="32"/>
          <w:szCs w:val="32"/>
        </w:rPr>
      </w:pPr>
      <w:bookmarkStart w:id="38" w:name="_Toc80366799"/>
      <w:r>
        <w:rPr>
          <w:rFonts w:ascii="Times New Roman" w:hAnsi="Times New Roman" w:eastAsia="楷体_GB2312" w:cs="Times New Roman"/>
          <w:b/>
          <w:bCs/>
          <w:sz w:val="32"/>
          <w:szCs w:val="32"/>
        </w:rPr>
        <w:t>（一）指导思想</w:t>
      </w:r>
      <w:bookmarkEnd w:id="38"/>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以习近平新时代中国特色社会主义思想为指导，全面贯彻党的十九大和历次全会精神，落实省委省政府数字化改革要求，深度接轨长三角区域一体化和台州大湾区，坚定数字经济“一号工程”总指引，紧扣集群化与高质量总蓝图，以产业数字化与数字产业化协同为核心，以数字化治理、协同化发展为支撑，实施内培外引、创新加速、融合赋能、开放协作组合拳，织就软硬协同、特色鲜明、竞争有力的数字经济2.0生态体系，将数字经济打造成为玉环构建美丽经济新体系、建成新时代全面展示中国特色社会主义制度优越性重要窗口美丽示范点的精彩样板。</w:t>
      </w:r>
    </w:p>
    <w:p>
      <w:pPr>
        <w:spacing w:line="360" w:lineRule="auto"/>
        <w:ind w:firstLine="643" w:firstLineChars="200"/>
        <w:outlineLvl w:val="1"/>
        <w:rPr>
          <w:rFonts w:ascii="Times New Roman" w:hAnsi="Times New Roman" w:eastAsia="楷体_GB2312" w:cs="Times New Roman"/>
          <w:b/>
          <w:bCs/>
          <w:sz w:val="32"/>
          <w:szCs w:val="32"/>
        </w:rPr>
      </w:pPr>
      <w:bookmarkStart w:id="39" w:name="_Toc80366800"/>
      <w:r>
        <w:rPr>
          <w:rFonts w:ascii="Times New Roman" w:hAnsi="Times New Roman" w:eastAsia="楷体_GB2312" w:cs="Times New Roman"/>
          <w:b/>
          <w:bCs/>
          <w:sz w:val="32"/>
          <w:szCs w:val="32"/>
        </w:rPr>
        <w:t>（二）基本原则</w:t>
      </w:r>
      <w:bookmarkEnd w:id="39"/>
    </w:p>
    <w:p>
      <w:pPr>
        <w:spacing w:line="360" w:lineRule="auto"/>
        <w:ind w:firstLine="643" w:firstLineChars="200"/>
        <w:rPr>
          <w:rFonts w:ascii="Times New Roman" w:hAnsi="Times New Roman" w:eastAsia="仿宋_GB2312" w:cs="Times New Roman"/>
          <w:b/>
          <w:bCs/>
          <w:sz w:val="32"/>
          <w:szCs w:val="36"/>
        </w:rPr>
      </w:pPr>
      <w:bookmarkStart w:id="40" w:name="_Toc55934720"/>
      <w:bookmarkStart w:id="41" w:name="_Toc55489146"/>
      <w:bookmarkStart w:id="42" w:name="_Toc45483001"/>
      <w:bookmarkStart w:id="43" w:name="_Toc45488066"/>
      <w:bookmarkStart w:id="44" w:name="_Toc55513675"/>
      <w:r>
        <w:rPr>
          <w:rFonts w:ascii="Times New Roman" w:hAnsi="Times New Roman" w:eastAsia="仿宋_GB2312" w:cs="Times New Roman"/>
          <w:b/>
          <w:bCs/>
          <w:sz w:val="32"/>
          <w:szCs w:val="36"/>
        </w:rPr>
        <w:t>1. 集聚集群、精益发展</w:t>
      </w:r>
      <w:bookmarkEnd w:id="40"/>
      <w:bookmarkEnd w:id="41"/>
      <w:bookmarkEnd w:id="42"/>
      <w:bookmarkEnd w:id="43"/>
      <w:bookmarkEnd w:id="44"/>
    </w:p>
    <w:p>
      <w:pPr>
        <w:pStyle w:val="32"/>
        <w:spacing w:line="360" w:lineRule="auto"/>
        <w:ind w:firstLine="640"/>
        <w:rPr>
          <w:rFonts w:ascii="Times New Roman" w:hAnsi="Times New Roman" w:cs="Times New Roman"/>
          <w:color w:val="FF0000"/>
          <w:sz w:val="30"/>
          <w:szCs w:val="30"/>
        </w:rPr>
      </w:pPr>
      <w:r>
        <w:rPr>
          <w:rFonts w:ascii="Times New Roman" w:hAnsi="Times New Roman" w:cs="Times New Roman"/>
        </w:rPr>
        <w:t>把引项目、优布局、促集群作为数字经济发展的“首位度”任务，突出特色半导体、伺服电机、工业机器人等硬科技领域，实施全球精准招引和精准培育，构建“精而强”的产业集群，提升规模效应。</w:t>
      </w:r>
    </w:p>
    <w:p>
      <w:pPr>
        <w:spacing w:line="360" w:lineRule="auto"/>
        <w:ind w:firstLine="643" w:firstLineChars="200"/>
        <w:rPr>
          <w:rFonts w:ascii="Times New Roman" w:hAnsi="Times New Roman" w:eastAsia="仿宋_GB2312" w:cs="Times New Roman"/>
          <w:b/>
          <w:bCs/>
          <w:sz w:val="32"/>
          <w:szCs w:val="36"/>
        </w:rPr>
      </w:pPr>
      <w:bookmarkStart w:id="45" w:name="_Toc45488067"/>
      <w:bookmarkStart w:id="46" w:name="_Toc45483002"/>
      <w:bookmarkStart w:id="47" w:name="_Toc55513676"/>
      <w:bookmarkStart w:id="48" w:name="_Toc55934721"/>
      <w:bookmarkStart w:id="49" w:name="_Toc55489147"/>
      <w:r>
        <w:rPr>
          <w:rFonts w:ascii="Times New Roman" w:hAnsi="Times New Roman" w:eastAsia="仿宋_GB2312" w:cs="Times New Roman"/>
          <w:b/>
          <w:bCs/>
          <w:sz w:val="32"/>
          <w:szCs w:val="36"/>
        </w:rPr>
        <w:t>2. 创新驱动、内生发展</w:t>
      </w:r>
      <w:bookmarkEnd w:id="45"/>
      <w:bookmarkEnd w:id="46"/>
      <w:bookmarkEnd w:id="47"/>
      <w:bookmarkEnd w:id="48"/>
      <w:bookmarkEnd w:id="49"/>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把产业链协同创新作为提升数字产业化内生力的“首位度”工程，持续释放场景红利，滚动实施数字产业化技术创新、产品创新和业态创新试点示范，提升创新要素的吸附能力和企业竞争力、产业基础能力。</w:t>
      </w:r>
    </w:p>
    <w:p>
      <w:pPr>
        <w:spacing w:line="360" w:lineRule="auto"/>
        <w:ind w:firstLine="643" w:firstLineChars="200"/>
        <w:rPr>
          <w:rFonts w:ascii="Times New Roman" w:hAnsi="Times New Roman" w:eastAsia="仿宋_GB2312" w:cs="Times New Roman"/>
          <w:b/>
          <w:bCs/>
          <w:sz w:val="32"/>
          <w:szCs w:val="36"/>
        </w:rPr>
      </w:pPr>
      <w:bookmarkStart w:id="50" w:name="_Toc45483003"/>
      <w:bookmarkStart w:id="51" w:name="_Toc45488068"/>
      <w:bookmarkStart w:id="52" w:name="_Toc55489148"/>
      <w:bookmarkStart w:id="53" w:name="_Toc55513677"/>
      <w:bookmarkStart w:id="54" w:name="_Toc55934722"/>
      <w:r>
        <w:rPr>
          <w:rFonts w:ascii="Times New Roman" w:hAnsi="Times New Roman" w:eastAsia="仿宋_GB2312" w:cs="Times New Roman"/>
          <w:b/>
          <w:bCs/>
          <w:sz w:val="32"/>
          <w:szCs w:val="36"/>
        </w:rPr>
        <w:t>3. 智能融合、高端发展</w:t>
      </w:r>
      <w:bookmarkEnd w:id="50"/>
      <w:bookmarkEnd w:id="51"/>
      <w:bookmarkEnd w:id="52"/>
      <w:bookmarkEnd w:id="53"/>
      <w:bookmarkEnd w:id="54"/>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把数字技术融合作为主攻产业数字化提质的“首位度”方向，实施以5G、人工智能、物联网等为重点的“智能+”装备技术升级和以工业互联网、智能制造、企业上云等为重点的生产技术改造，以“硬制造”与“软服务”提升产业价值链。 </w:t>
      </w:r>
    </w:p>
    <w:p>
      <w:pPr>
        <w:spacing w:line="360" w:lineRule="auto"/>
        <w:ind w:firstLine="643" w:firstLineChars="200"/>
        <w:outlineLvl w:val="1"/>
        <w:rPr>
          <w:rFonts w:ascii="Times New Roman" w:hAnsi="Times New Roman" w:eastAsia="楷体_GB2312" w:cs="Times New Roman"/>
          <w:b/>
          <w:bCs/>
          <w:sz w:val="32"/>
          <w:szCs w:val="32"/>
        </w:rPr>
      </w:pPr>
      <w:bookmarkStart w:id="55" w:name="_Toc80366801"/>
      <w:r>
        <w:rPr>
          <w:rFonts w:ascii="Times New Roman" w:hAnsi="Times New Roman" w:eastAsia="楷体_GB2312" w:cs="Times New Roman"/>
          <w:b/>
          <w:bCs/>
          <w:sz w:val="32"/>
          <w:szCs w:val="32"/>
        </w:rPr>
        <w:t>（三）发展定位</w:t>
      </w:r>
      <w:bookmarkEnd w:id="55"/>
    </w:p>
    <w:p>
      <w:pPr>
        <w:widowControl/>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2"/>
        </w:rPr>
        <w:t>坚持发展定力，深入实施数字化改革，补齐数字产业化短板、锻强产业数字化长板，打造</w:t>
      </w:r>
      <w:bookmarkStart w:id="56" w:name="_Hlk48762154"/>
      <w:r>
        <w:rPr>
          <w:rFonts w:ascii="Times New Roman" w:hAnsi="Times New Roman" w:eastAsia="仿宋_GB2312" w:cs="Times New Roman"/>
          <w:sz w:val="32"/>
          <w:szCs w:val="32"/>
        </w:rPr>
        <w:t>“一区一城”</w:t>
      </w:r>
      <w:bookmarkEnd w:id="56"/>
      <w:r>
        <w:rPr>
          <w:rFonts w:ascii="Times New Roman" w:hAnsi="Times New Roman" w:eastAsia="仿宋_GB2312" w:cs="Times New Roman"/>
          <w:sz w:val="32"/>
          <w:szCs w:val="36"/>
        </w:rPr>
        <w:t>，奋力开创新时代高质量赶超发展新局面。</w:t>
      </w:r>
    </w:p>
    <w:p>
      <w:pPr>
        <w:spacing w:line="360" w:lineRule="auto"/>
        <w:ind w:firstLine="643" w:firstLineChars="200"/>
        <w:rPr>
          <w:rFonts w:ascii="Times New Roman" w:hAnsi="Times New Roman" w:eastAsia="仿宋_GB2312" w:cs="Times New Roman"/>
          <w:b/>
          <w:bCs/>
          <w:sz w:val="32"/>
          <w:szCs w:val="36"/>
        </w:rPr>
      </w:pPr>
      <w:bookmarkStart w:id="57" w:name="_Toc55934724"/>
      <w:bookmarkStart w:id="58" w:name="_Toc55513679"/>
      <w:bookmarkStart w:id="59" w:name="_Hlk48761723"/>
      <w:bookmarkStart w:id="60" w:name="_Toc55489150"/>
      <w:r>
        <w:rPr>
          <w:rFonts w:ascii="Times New Roman" w:hAnsi="Times New Roman" w:eastAsia="仿宋_GB2312" w:cs="Times New Roman"/>
          <w:b/>
          <w:bCs/>
          <w:sz w:val="32"/>
          <w:szCs w:val="36"/>
        </w:rPr>
        <w:t>----全省产业数字化</w:t>
      </w:r>
      <w:bookmarkEnd w:id="57"/>
      <w:bookmarkEnd w:id="58"/>
      <w:bookmarkEnd w:id="59"/>
      <w:bookmarkEnd w:id="60"/>
      <w:r>
        <w:rPr>
          <w:rFonts w:ascii="Times New Roman" w:hAnsi="Times New Roman" w:eastAsia="仿宋_GB2312" w:cs="Times New Roman"/>
          <w:b/>
          <w:bCs/>
          <w:sz w:val="32"/>
          <w:szCs w:val="36"/>
        </w:rPr>
        <w:t>转型标杆区</w:t>
      </w:r>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发挥我市民营经济雄厚底蕴和转型升级的“巨型市场”优势，对标先进地区、对表省市战略时点，深入实施“智能+”“5G+”“工业互联网+”，以行业切入、以典型示范带动，推动全市制造业、服务业、农旅业全面数字化转型，形成一批标志性成果，催化企业发展方式变革、效率变革和质量变革，努力成为全省产业数字化转型示范重要窗口。</w:t>
      </w:r>
    </w:p>
    <w:p>
      <w:pPr>
        <w:spacing w:line="360" w:lineRule="auto"/>
        <w:ind w:firstLine="643" w:firstLineChars="200"/>
        <w:rPr>
          <w:rFonts w:ascii="Times New Roman" w:hAnsi="Times New Roman" w:eastAsia="仿宋_GB2312" w:cs="Times New Roman"/>
          <w:b/>
          <w:bCs/>
          <w:sz w:val="32"/>
          <w:szCs w:val="36"/>
        </w:rPr>
      </w:pPr>
      <w:bookmarkStart w:id="61" w:name="_Toc55934725"/>
      <w:bookmarkStart w:id="62" w:name="_Toc55513680"/>
      <w:bookmarkStart w:id="63" w:name="_Toc55489151"/>
      <w:bookmarkStart w:id="64" w:name="_Hlk62205403"/>
      <w:r>
        <w:rPr>
          <w:rFonts w:ascii="Times New Roman" w:hAnsi="Times New Roman" w:eastAsia="仿宋_GB2312" w:cs="Times New Roman"/>
          <w:b/>
          <w:bCs/>
          <w:sz w:val="32"/>
          <w:szCs w:val="36"/>
        </w:rPr>
        <w:t>----台州工业4.0标杆城市示范</w:t>
      </w:r>
      <w:bookmarkEnd w:id="61"/>
      <w:bookmarkEnd w:id="62"/>
      <w:bookmarkEnd w:id="63"/>
      <w:r>
        <w:rPr>
          <w:rFonts w:ascii="Times New Roman" w:hAnsi="Times New Roman" w:eastAsia="仿宋_GB2312" w:cs="Times New Roman"/>
          <w:b/>
          <w:bCs/>
          <w:sz w:val="32"/>
          <w:szCs w:val="36"/>
        </w:rPr>
        <w:t xml:space="preserve">城 </w:t>
      </w:r>
      <w:bookmarkEnd w:id="64"/>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向内探索数字经济发展促进机制改革，向外借道借力大湾区、杭甬温都市群、长三角区域一体化等带来的红利，深耕特色工艺集成电路、工业机器人标志性产业，深化工业互联网、5G等新技术在工业领域的集成创新应用，打造机制活跃、产业突出、赋能有力的工业4.0标杆，成为台州南部湾区最佳发展极。</w:t>
      </w:r>
    </w:p>
    <w:p>
      <w:pPr>
        <w:spacing w:line="360" w:lineRule="auto"/>
        <w:ind w:firstLine="643" w:firstLineChars="200"/>
        <w:outlineLvl w:val="1"/>
        <w:rPr>
          <w:rFonts w:ascii="Times New Roman" w:hAnsi="Times New Roman" w:eastAsia="楷体_GB2312" w:cs="Times New Roman"/>
          <w:b/>
          <w:bCs/>
          <w:sz w:val="32"/>
          <w:szCs w:val="32"/>
        </w:rPr>
      </w:pPr>
      <w:bookmarkStart w:id="65" w:name="_Toc80366802"/>
      <w:r>
        <w:rPr>
          <w:rFonts w:ascii="Times New Roman" w:hAnsi="Times New Roman" w:eastAsia="楷体_GB2312" w:cs="Times New Roman"/>
          <w:b/>
          <w:bCs/>
          <w:sz w:val="32"/>
          <w:szCs w:val="32"/>
        </w:rPr>
        <w:t>（四）发展目标</w:t>
      </w:r>
      <w:bookmarkEnd w:id="65"/>
    </w:p>
    <w:p>
      <w:pPr>
        <w:spacing w:line="360" w:lineRule="auto"/>
        <w:ind w:firstLine="641"/>
        <w:rPr>
          <w:rFonts w:ascii="Times New Roman" w:hAnsi="Times New Roman" w:eastAsia="仿宋_GB2312" w:cs="Times New Roman"/>
          <w:sz w:val="32"/>
          <w:szCs w:val="32"/>
        </w:rPr>
      </w:pPr>
      <w:r>
        <w:rPr>
          <w:rFonts w:ascii="Times New Roman" w:hAnsi="Times New Roman" w:eastAsia="仿宋_GB2312" w:cs="Times New Roman"/>
          <w:sz w:val="32"/>
          <w:szCs w:val="32"/>
        </w:rPr>
        <w:t>通过大胆改革、精益耕织、以小撬大、聚力发展，基本确立特色凸显、创新活跃、竞争强劲的数字经济新格局，综合实力跻身全省县（市、区）第二梯队前列，建成“一区一城”。</w:t>
      </w:r>
    </w:p>
    <w:p>
      <w:pPr>
        <w:pStyle w:val="31"/>
        <w:spacing w:line="360" w:lineRule="auto"/>
        <w:ind w:firstLine="643"/>
        <w:jc w:val="both"/>
        <w:outlineLvl w:val="9"/>
        <w:rPr>
          <w:rFonts w:ascii="Times New Roman"/>
          <w:b w:val="0"/>
          <w:bCs w:val="0"/>
        </w:rPr>
      </w:pPr>
      <w:bookmarkStart w:id="66" w:name="_Toc55513682"/>
      <w:bookmarkStart w:id="67" w:name="_Toc55489153"/>
      <w:bookmarkStart w:id="68" w:name="_Toc55934727"/>
      <w:r>
        <w:rPr>
          <w:rFonts w:ascii="Times New Roman"/>
        </w:rPr>
        <w:t xml:space="preserve">1. </w:t>
      </w:r>
      <w:bookmarkEnd w:id="66"/>
      <w:bookmarkEnd w:id="67"/>
      <w:bookmarkEnd w:id="68"/>
      <w:r>
        <w:rPr>
          <w:rFonts w:ascii="Times New Roman"/>
        </w:rPr>
        <w:t>数字产业化规模突破。</w:t>
      </w:r>
      <w:r>
        <w:rPr>
          <w:rFonts w:ascii="Times New Roman"/>
          <w:b w:val="0"/>
          <w:bCs w:val="0"/>
        </w:rPr>
        <w:t>培育形成</w:t>
      </w:r>
      <w:r>
        <w:rPr>
          <w:rFonts w:hint="eastAsia" w:ascii="Times New Roman"/>
          <w:b w:val="0"/>
          <w:bCs w:val="0"/>
        </w:rPr>
        <w:t>电子信息</w:t>
      </w:r>
      <w:r>
        <w:rPr>
          <w:rFonts w:ascii="Times New Roman"/>
          <w:b w:val="0"/>
          <w:bCs w:val="0"/>
        </w:rPr>
        <w:t>、工业机器人、光伏三大产业集群，建成10个</w:t>
      </w:r>
      <w:r>
        <w:rPr>
          <w:rFonts w:hint="eastAsia" w:ascii="Times New Roman"/>
          <w:b w:val="0"/>
          <w:bCs w:val="0"/>
        </w:rPr>
        <w:t>高竞争力的</w:t>
      </w:r>
      <w:r>
        <w:rPr>
          <w:rFonts w:ascii="Times New Roman"/>
          <w:b w:val="0"/>
          <w:bCs w:val="0"/>
        </w:rPr>
        <w:t>数字经济产业载体。到2025年，全市数字经济核心产业增加值达到35亿元</w:t>
      </w:r>
      <w:r>
        <w:rPr>
          <w:rFonts w:hint="eastAsia" w:ascii="Times New Roman"/>
          <w:b w:val="0"/>
          <w:bCs w:val="0"/>
        </w:rPr>
        <w:t>，占G</w:t>
      </w:r>
      <w:r>
        <w:rPr>
          <w:rFonts w:ascii="Times New Roman"/>
          <w:b w:val="0"/>
          <w:bCs w:val="0"/>
        </w:rPr>
        <w:t>DP</w:t>
      </w:r>
      <w:r>
        <w:rPr>
          <w:rFonts w:hint="eastAsia" w:ascii="Times New Roman"/>
          <w:b w:val="0"/>
          <w:bCs w:val="0"/>
        </w:rPr>
        <w:t>的比重达到3</w:t>
      </w:r>
      <w:r>
        <w:rPr>
          <w:rFonts w:ascii="Times New Roman"/>
          <w:b w:val="0"/>
          <w:bCs w:val="0"/>
        </w:rPr>
        <w:t>.9</w:t>
      </w:r>
      <w:r>
        <w:rPr>
          <w:rFonts w:hint="eastAsia" w:ascii="Times New Roman"/>
          <w:b w:val="0"/>
          <w:bCs w:val="0"/>
        </w:rPr>
        <w:t>%，</w:t>
      </w:r>
      <w:r>
        <w:rPr>
          <w:rFonts w:ascii="Times New Roman"/>
          <w:b w:val="0"/>
          <w:bCs w:val="0"/>
        </w:rPr>
        <w:t xml:space="preserve">规上电子信息制造业、软件和信息技术服务业营业收入实现倍增发展。 </w:t>
      </w:r>
    </w:p>
    <w:p>
      <w:pPr>
        <w:pStyle w:val="31"/>
        <w:spacing w:line="360" w:lineRule="auto"/>
        <w:ind w:firstLine="643"/>
        <w:jc w:val="both"/>
        <w:outlineLvl w:val="9"/>
        <w:rPr>
          <w:rFonts w:ascii="Times New Roman"/>
          <w:b w:val="0"/>
          <w:bCs w:val="0"/>
        </w:rPr>
      </w:pPr>
      <w:bookmarkStart w:id="69" w:name="_Toc55934728"/>
      <w:bookmarkStart w:id="70" w:name="_Toc55513683"/>
      <w:bookmarkStart w:id="71" w:name="_Toc55489154"/>
      <w:r>
        <w:rPr>
          <w:rFonts w:ascii="Times New Roman"/>
        </w:rPr>
        <w:t>2.</w:t>
      </w:r>
      <w:bookmarkEnd w:id="69"/>
      <w:bookmarkEnd w:id="70"/>
      <w:bookmarkEnd w:id="71"/>
      <w:bookmarkStart w:id="72" w:name="_Toc55513684"/>
      <w:bookmarkStart w:id="73" w:name="_Toc55489155"/>
      <w:bookmarkStart w:id="74" w:name="_Toc55934729"/>
      <w:r>
        <w:rPr>
          <w:rFonts w:ascii="Times New Roman"/>
        </w:rPr>
        <w:t xml:space="preserve"> 产业数字化转型突破。</w:t>
      </w:r>
      <w:r>
        <w:rPr>
          <w:rFonts w:ascii="Times New Roman"/>
          <w:b w:val="0"/>
          <w:bCs w:val="0"/>
        </w:rPr>
        <w:t>制造业与互联网</w:t>
      </w:r>
      <w:r>
        <w:rPr>
          <w:rFonts w:hint="eastAsia" w:ascii="Times New Roman"/>
          <w:b w:val="0"/>
          <w:bCs w:val="0"/>
        </w:rPr>
        <w:t>走向</w:t>
      </w:r>
      <w:r>
        <w:rPr>
          <w:rFonts w:ascii="Times New Roman"/>
          <w:b w:val="0"/>
          <w:bCs w:val="0"/>
        </w:rPr>
        <w:t>深度融合，</w:t>
      </w:r>
      <w:r>
        <w:rPr>
          <w:rFonts w:hint="eastAsia" w:ascii="Times New Roman"/>
          <w:b w:val="0"/>
          <w:bCs w:val="0"/>
        </w:rPr>
        <w:t>智能制造</w:t>
      </w:r>
      <w:r>
        <w:rPr>
          <w:rFonts w:ascii="Times New Roman"/>
          <w:b w:val="0"/>
          <w:bCs w:val="0"/>
        </w:rPr>
        <w:t>新模式普遍</w:t>
      </w:r>
      <w:r>
        <w:rPr>
          <w:rFonts w:hint="eastAsia" w:ascii="Times New Roman"/>
          <w:b w:val="0"/>
          <w:bCs w:val="0"/>
        </w:rPr>
        <w:t>推行</w:t>
      </w:r>
      <w:r>
        <w:rPr>
          <w:rFonts w:ascii="Times New Roman"/>
          <w:b w:val="0"/>
          <w:bCs w:val="0"/>
        </w:rPr>
        <w:t>，到2025年，建成行业</w:t>
      </w:r>
      <w:r>
        <w:rPr>
          <w:rFonts w:hint="eastAsia" w:ascii="Times New Roman"/>
          <w:b w:val="0"/>
          <w:bCs w:val="0"/>
        </w:rPr>
        <w:t>产业</w:t>
      </w:r>
      <w:r>
        <w:rPr>
          <w:rFonts w:ascii="Times New Roman"/>
          <w:b w:val="0"/>
          <w:bCs w:val="0"/>
        </w:rPr>
        <w:t>大脑3个</w:t>
      </w:r>
      <w:r>
        <w:rPr>
          <w:rFonts w:hint="eastAsia" w:ascii="Times New Roman"/>
          <w:b w:val="0"/>
          <w:bCs w:val="0"/>
        </w:rPr>
        <w:t>，培育未来工厂、智能工厂、数字化车间</w:t>
      </w:r>
      <w:r>
        <w:rPr>
          <w:rFonts w:ascii="Times New Roman"/>
          <w:b w:val="0"/>
          <w:bCs w:val="0"/>
        </w:rPr>
        <w:t>30</w:t>
      </w:r>
      <w:r>
        <w:rPr>
          <w:rFonts w:hint="eastAsia" w:ascii="Times New Roman"/>
          <w:b w:val="0"/>
          <w:bCs w:val="0"/>
        </w:rPr>
        <w:t>家以上，</w:t>
      </w:r>
      <w:r>
        <w:rPr>
          <w:rFonts w:ascii="Times New Roman"/>
          <w:b w:val="0"/>
          <w:bCs w:val="0"/>
          <w:lang w:val="en-US"/>
        </w:rPr>
        <w:t>新增在役工业机器人1500台</w:t>
      </w:r>
      <w:r>
        <w:rPr>
          <w:rFonts w:hint="eastAsia" w:ascii="Times New Roman"/>
          <w:b w:val="0"/>
          <w:bCs w:val="0"/>
          <w:lang w:val="en-US"/>
        </w:rPr>
        <w:t>以上，全员劳动生产率提升至</w:t>
      </w:r>
      <w:r>
        <w:rPr>
          <w:rFonts w:ascii="Times New Roman"/>
          <w:b w:val="0"/>
          <w:bCs w:val="0"/>
          <w:lang w:val="en-US"/>
        </w:rPr>
        <w:t>20万元/人</w:t>
      </w:r>
      <w:r>
        <w:rPr>
          <w:rFonts w:hint="eastAsia" w:ascii="Times New Roman"/>
          <w:b w:val="0"/>
          <w:bCs w:val="0"/>
          <w:lang w:val="en-US"/>
        </w:rPr>
        <w:t>。</w:t>
      </w:r>
      <w:r>
        <w:rPr>
          <w:rFonts w:ascii="Times New Roman"/>
          <w:b w:val="0"/>
          <w:bCs w:val="0"/>
        </w:rPr>
        <w:t>数字服务业、数字农渔业发展水平大幅提升，建成一批智慧商圈，实现网络零售额88亿元</w:t>
      </w:r>
      <w:r>
        <w:rPr>
          <w:rFonts w:hint="eastAsia" w:ascii="Times New Roman"/>
          <w:b w:val="0"/>
          <w:bCs w:val="0"/>
        </w:rPr>
        <w:t>以上</w:t>
      </w:r>
      <w:r>
        <w:rPr>
          <w:rFonts w:ascii="Times New Roman"/>
          <w:b w:val="0"/>
          <w:bCs w:val="0"/>
        </w:rPr>
        <w:t>。</w:t>
      </w:r>
      <w:bookmarkEnd w:id="72"/>
      <w:bookmarkEnd w:id="73"/>
      <w:bookmarkEnd w:id="74"/>
    </w:p>
    <w:p>
      <w:pPr>
        <w:pStyle w:val="31"/>
        <w:spacing w:line="360" w:lineRule="auto"/>
        <w:ind w:firstLine="643"/>
        <w:jc w:val="both"/>
        <w:outlineLvl w:val="9"/>
        <w:rPr>
          <w:rFonts w:ascii="Times New Roman"/>
          <w:b w:val="0"/>
          <w:bCs w:val="0"/>
        </w:rPr>
      </w:pPr>
      <w:bookmarkStart w:id="75" w:name="_Toc55513685"/>
      <w:bookmarkStart w:id="76" w:name="_Toc55489156"/>
      <w:bookmarkStart w:id="77" w:name="_Toc55934730"/>
      <w:r>
        <w:rPr>
          <w:rFonts w:ascii="Times New Roman"/>
        </w:rPr>
        <w:t xml:space="preserve">3. </w:t>
      </w:r>
      <w:bookmarkEnd w:id="75"/>
      <w:bookmarkEnd w:id="76"/>
      <w:bookmarkEnd w:id="77"/>
      <w:r>
        <w:rPr>
          <w:rFonts w:ascii="Times New Roman"/>
        </w:rPr>
        <w:t>数字大科创效能突破。</w:t>
      </w:r>
      <w:r>
        <w:rPr>
          <w:rFonts w:ascii="Times New Roman"/>
          <w:b w:val="0"/>
          <w:bCs w:val="0"/>
        </w:rPr>
        <w:t>数字科技创新加速，创新环境大幅改善，到2025年，台州市级以上企业研发机构累计新增150家以上，规上数字经济核心产业R&amp;D投入占营业收入比重高于全社会研发投入占GDP</w:t>
      </w:r>
      <w:r>
        <w:rPr>
          <w:rFonts w:hint="eastAsia" w:ascii="Times New Roman"/>
          <w:b w:val="0"/>
          <w:bCs w:val="0"/>
        </w:rPr>
        <w:t>的</w:t>
      </w:r>
      <w:r>
        <w:rPr>
          <w:rFonts w:ascii="Times New Roman"/>
          <w:b w:val="0"/>
          <w:bCs w:val="0"/>
        </w:rPr>
        <w:t>比重；在智能装备、工业机器人等领域突破、掌握、转化一批先进技术成果，有效发明专利达到600件。</w:t>
      </w:r>
    </w:p>
    <w:p>
      <w:pPr>
        <w:pStyle w:val="32"/>
        <w:spacing w:line="360" w:lineRule="auto"/>
        <w:ind w:firstLine="643"/>
        <w:rPr>
          <w:rFonts w:ascii="Times New Roman" w:hAnsi="Times New Roman" w:cs="Times New Roman"/>
          <w:b/>
          <w:bCs/>
          <w:lang w:val="zh-CN"/>
        </w:rPr>
      </w:pPr>
      <w:r>
        <w:rPr>
          <w:rFonts w:ascii="Times New Roman" w:hAnsi="Times New Roman" w:cs="Times New Roman"/>
          <w:b/>
          <w:bCs/>
          <w:lang w:val="zh-CN"/>
        </w:rPr>
        <w:t>4. 治理数字化能级突破。</w:t>
      </w:r>
      <w:r>
        <w:rPr>
          <w:rFonts w:hint="eastAsia" w:ascii="Times New Roman" w:hAnsi="Times New Roman" w:cs="Times New Roman"/>
          <w:lang w:val="zh-CN"/>
        </w:rPr>
        <w:t>数字化改革全域推进，</w:t>
      </w:r>
      <w:r>
        <w:rPr>
          <w:rFonts w:ascii="Times New Roman" w:hAnsi="Times New Roman" w:cs="Times New Roman"/>
          <w:lang w:val="zh-CN"/>
        </w:rPr>
        <w:t>建成党政机关整体智治、数字政府、数字经济、数字社会和数字法治综合应用体系</w:t>
      </w:r>
      <w:r>
        <w:rPr>
          <w:rFonts w:hint="eastAsia" w:ascii="Times New Roman" w:hAnsi="Times New Roman" w:cs="Times New Roman"/>
          <w:lang w:val="zh-CN"/>
        </w:rPr>
        <w:t>。</w:t>
      </w:r>
      <w:r>
        <w:rPr>
          <w:rFonts w:ascii="Times New Roman" w:hAnsi="Times New Roman" w:cs="Times New Roman"/>
          <w:lang w:val="zh-CN"/>
        </w:rPr>
        <w:t>建成 “城市大脑”应用体系，形成“一脑赋能 智享玉环”新型智慧城市格局</w:t>
      </w:r>
      <w:r>
        <w:rPr>
          <w:rFonts w:hint="eastAsia" w:ascii="Times New Roman" w:hAnsi="Times New Roman" w:cs="Times New Roman"/>
          <w:lang w:val="zh-CN"/>
        </w:rPr>
        <w:t>，</w:t>
      </w:r>
      <w:r>
        <w:rPr>
          <w:rFonts w:ascii="Times New Roman" w:hAnsi="Times New Roman" w:cs="Times New Roman"/>
          <w:lang w:val="zh-CN"/>
        </w:rPr>
        <w:t>人民群众的获得感、幸福感、安全感全面提升。</w:t>
      </w:r>
    </w:p>
    <w:p>
      <w:pPr>
        <w:pStyle w:val="32"/>
        <w:spacing w:line="360" w:lineRule="auto"/>
        <w:ind w:firstLine="643"/>
        <w:rPr>
          <w:rFonts w:ascii="Times New Roman" w:hAnsi="Times New Roman" w:cs="Times New Roman"/>
          <w:lang w:val="zh-CN"/>
        </w:rPr>
      </w:pPr>
      <w:r>
        <w:rPr>
          <w:rFonts w:ascii="Times New Roman" w:hAnsi="Times New Roman" w:cs="Times New Roman"/>
          <w:b/>
          <w:bCs/>
          <w:lang w:val="zh-CN"/>
        </w:rPr>
        <w:t>5. 数字新基建升级突破。</w:t>
      </w:r>
      <w:r>
        <w:rPr>
          <w:rFonts w:ascii="Times New Roman" w:hAnsi="Times New Roman" w:cs="Times New Roman"/>
          <w:lang w:val="zh-CN"/>
        </w:rPr>
        <w:t>4G网络、光纤宽带网络等基础设施迭代升级，5G网络深度应用，城市物联感知基础设施趋于完善，到2025年，建成5G基站1500个以上，基本实现全域覆盖；互联网普及率达到95%以上。</w:t>
      </w:r>
    </w:p>
    <w:p>
      <w:pPr>
        <w:spacing w:line="360" w:lineRule="auto"/>
        <w:ind w:firstLine="640" w:firstLineChars="200"/>
        <w:outlineLvl w:val="0"/>
        <w:rPr>
          <w:rFonts w:ascii="Times New Roman" w:hAnsi="Times New Roman" w:eastAsia="黑体" w:cs="Times New Roman"/>
          <w:sz w:val="32"/>
          <w:szCs w:val="32"/>
        </w:rPr>
      </w:pPr>
      <w:bookmarkStart w:id="78" w:name="_Toc80366803"/>
      <w:r>
        <w:rPr>
          <w:rFonts w:ascii="Times New Roman" w:hAnsi="Times New Roman" w:eastAsia="黑体" w:cs="Times New Roman"/>
          <w:sz w:val="32"/>
          <w:szCs w:val="32"/>
        </w:rPr>
        <w:t>四、主要任务</w:t>
      </w:r>
      <w:bookmarkEnd w:id="78"/>
    </w:p>
    <w:p>
      <w:pPr>
        <w:spacing w:line="360" w:lineRule="auto"/>
        <w:ind w:firstLine="643" w:firstLineChars="200"/>
        <w:outlineLvl w:val="1"/>
        <w:rPr>
          <w:rFonts w:ascii="Times New Roman" w:hAnsi="Times New Roman" w:eastAsia="楷体_GB2312" w:cs="Times New Roman"/>
          <w:b/>
          <w:bCs/>
          <w:sz w:val="32"/>
          <w:szCs w:val="32"/>
        </w:rPr>
      </w:pPr>
      <w:bookmarkStart w:id="79" w:name="_Toc80366804"/>
      <w:r>
        <w:rPr>
          <w:rFonts w:ascii="Times New Roman" w:hAnsi="Times New Roman" w:eastAsia="楷体_GB2312" w:cs="Times New Roman"/>
          <w:b/>
          <w:bCs/>
          <w:sz w:val="32"/>
          <w:szCs w:val="32"/>
        </w:rPr>
        <w:t>（一）紧扣数字产业“一张图”，构筑数字经济生态</w:t>
      </w:r>
      <w:bookmarkEnd w:id="79"/>
      <w:r>
        <w:rPr>
          <w:rFonts w:ascii="Times New Roman" w:hAnsi="Times New Roman" w:eastAsia="楷体_GB2312" w:cs="Times New Roman"/>
          <w:b/>
          <w:bCs/>
          <w:sz w:val="32"/>
          <w:szCs w:val="32"/>
        </w:rPr>
        <w:t xml:space="preserve"> </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紧盯数字产业化“牛鼻子”，以精准招引和培大育强为双驱动，构建数字经济核心产业生态，打造促进区域经济发展的新动能。</w:t>
      </w:r>
    </w:p>
    <w:p>
      <w:pPr>
        <w:spacing w:line="360" w:lineRule="auto"/>
        <w:ind w:firstLine="643" w:firstLineChars="200"/>
        <w:rPr>
          <w:rFonts w:ascii="Times New Roman" w:hAnsi="Times New Roman" w:eastAsia="仿宋_GB2312" w:cs="Times New Roman"/>
          <w:bCs/>
          <w:sz w:val="24"/>
          <w:szCs w:val="24"/>
        </w:rPr>
      </w:pPr>
      <w:r>
        <w:rPr>
          <w:rFonts w:ascii="Times New Roman" w:hAnsi="Times New Roman" w:eastAsia="仿宋_GB2312" w:cs="Times New Roman"/>
          <w:b/>
          <w:bCs/>
          <w:sz w:val="32"/>
          <w:szCs w:val="32"/>
        </w:rPr>
        <w:t>1.构建数字核心产业集群。</w:t>
      </w:r>
      <w:r>
        <w:rPr>
          <w:rFonts w:ascii="Times New Roman" w:hAnsi="Times New Roman" w:eastAsia="仿宋_GB2312" w:cs="Times New Roman"/>
          <w:sz w:val="32"/>
          <w:szCs w:val="32"/>
        </w:rPr>
        <w:t>以里阳半导体、琦星智能等行业企业为牵引，加强产业链上下游招引和产业链生态资源整合，着力培育壮大</w:t>
      </w:r>
      <w:r>
        <w:rPr>
          <w:rFonts w:hint="eastAsia" w:ascii="Times New Roman" w:hAnsi="Times New Roman" w:eastAsia="仿宋_GB2312" w:cs="Times New Roman"/>
          <w:sz w:val="32"/>
          <w:szCs w:val="32"/>
        </w:rPr>
        <w:t>电子信息</w:t>
      </w:r>
      <w:r>
        <w:rPr>
          <w:rFonts w:ascii="Times New Roman" w:hAnsi="Times New Roman" w:eastAsia="仿宋_GB2312" w:cs="Times New Roman"/>
          <w:sz w:val="32"/>
          <w:szCs w:val="32"/>
        </w:rPr>
        <w:t>、工业机器人</w:t>
      </w:r>
      <w:r>
        <w:rPr>
          <w:rFonts w:hint="eastAsia" w:ascii="Times New Roman" w:hAnsi="Times New Roman" w:eastAsia="仿宋_GB2312" w:cs="Times New Roman"/>
          <w:sz w:val="32"/>
          <w:szCs w:val="32"/>
        </w:rPr>
        <w:t>等数字经济核心制造业</w:t>
      </w:r>
      <w:r>
        <w:rPr>
          <w:rFonts w:ascii="Times New Roman" w:hAnsi="Times New Roman" w:eastAsia="仿宋_GB2312" w:cs="Times New Roman"/>
          <w:sz w:val="32"/>
          <w:szCs w:val="32"/>
        </w:rPr>
        <w:t>，构建“</w:t>
      </w:r>
      <w:r>
        <w:rPr>
          <w:rFonts w:hint="eastAsia" w:ascii="Times New Roman" w:hAnsi="Times New Roman" w:eastAsia="仿宋_GB2312" w:cs="Times New Roman"/>
          <w:sz w:val="32"/>
          <w:szCs w:val="32"/>
        </w:rPr>
        <w:t>化合物</w:t>
      </w:r>
      <w:r>
        <w:rPr>
          <w:rFonts w:ascii="Times New Roman" w:hAnsi="Times New Roman" w:eastAsia="仿宋_GB2312" w:cs="Times New Roman"/>
          <w:sz w:val="32"/>
          <w:szCs w:val="32"/>
        </w:rPr>
        <w:t>半导体材料、芯片</w:t>
      </w:r>
      <w:r>
        <w:rPr>
          <w:rFonts w:hint="eastAsia" w:ascii="Times New Roman" w:hAnsi="Times New Roman" w:eastAsia="仿宋_GB2312" w:cs="Times New Roman"/>
          <w:sz w:val="32"/>
          <w:szCs w:val="32"/>
        </w:rPr>
        <w:t>及</w:t>
      </w:r>
      <w:r>
        <w:rPr>
          <w:rFonts w:ascii="Times New Roman" w:hAnsi="Times New Roman" w:eastAsia="仿宋_GB2312" w:cs="Times New Roman"/>
          <w:sz w:val="32"/>
          <w:szCs w:val="32"/>
        </w:rPr>
        <w:t>模组、功率器件”产业链和“机器人本体-关键零部件-成套系统”产业链。大力发展面向智能装备、汽车装备、数控机床、药械包装等整套装备的数字化控制系统、伺服电机、电子元器件及模组等制造。提升发展光伏产业，大力发展新型光伏电池及延伸产品。推进新型智慧城市、智能制造等的发展，释放市场业务场景和市场，着力引进和培育人工智能、云计算、大数据、区块链、5G、高端软件等“一揽子”未来产业。</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blHeader/>
        </w:trPr>
        <w:tc>
          <w:tcPr>
            <w:tcW w:w="8522" w:type="dxa"/>
            <w:gridSpan w:val="2"/>
            <w:tcBorders>
              <w:tl2br w:val="nil"/>
              <w:tr2bl w:val="nil"/>
            </w:tcBorders>
            <w:shd w:val="clear" w:color="auto" w:fill="auto"/>
            <w:vAlign w:val="center"/>
          </w:tcPr>
          <w:p>
            <w:pPr>
              <w:spacing w:line="360" w:lineRule="auto"/>
              <w:jc w:val="center"/>
              <w:rPr>
                <w:rFonts w:ascii="Times New Roman" w:hAnsi="Times New Roman" w:eastAsia="宋体" w:cs="Times New Roman"/>
                <w:b/>
                <w:bCs/>
                <w:sz w:val="22"/>
              </w:rPr>
            </w:pPr>
            <w:r>
              <w:rPr>
                <w:rFonts w:ascii="Times New Roman" w:hAnsi="Times New Roman" w:eastAsia="宋体" w:cs="Times New Roman"/>
                <w:b/>
                <w:bCs/>
                <w:sz w:val="22"/>
              </w:rPr>
              <w:t>表1 数字经济核心产业培育重点及方向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blHeader/>
        </w:trPr>
        <w:tc>
          <w:tcPr>
            <w:tcW w:w="1384" w:type="dxa"/>
            <w:tcBorders>
              <w:tl2br w:val="nil"/>
              <w:tr2bl w:val="nil"/>
            </w:tcBorders>
            <w:shd w:val="clear" w:color="auto" w:fill="F1F1F1" w:themeFill="background1" w:themeFillShade="F2"/>
            <w:vAlign w:val="center"/>
          </w:tcPr>
          <w:p>
            <w:pPr>
              <w:spacing w:line="360" w:lineRule="auto"/>
              <w:jc w:val="center"/>
              <w:rPr>
                <w:rFonts w:ascii="Times New Roman" w:hAnsi="Times New Roman" w:eastAsia="仿宋_GB2312" w:cs="Times New Roman"/>
                <w:sz w:val="22"/>
              </w:rPr>
            </w:pPr>
            <w:r>
              <w:rPr>
                <w:rFonts w:ascii="Times New Roman" w:hAnsi="Times New Roman" w:eastAsia="宋体" w:cs="Times New Roman"/>
                <w:b/>
                <w:bCs/>
                <w:sz w:val="22"/>
              </w:rPr>
              <w:t>标志性产业</w:t>
            </w:r>
          </w:p>
        </w:tc>
        <w:tc>
          <w:tcPr>
            <w:tcW w:w="7138" w:type="dxa"/>
            <w:tcBorders>
              <w:tl2br w:val="nil"/>
              <w:tr2bl w:val="nil"/>
            </w:tcBorders>
            <w:shd w:val="clear" w:color="auto" w:fill="F1F1F1" w:themeFill="background1" w:themeFillShade="F2"/>
            <w:vAlign w:val="center"/>
          </w:tcPr>
          <w:p>
            <w:pPr>
              <w:spacing w:line="360" w:lineRule="auto"/>
              <w:jc w:val="center"/>
              <w:rPr>
                <w:rFonts w:ascii="Times New Roman" w:hAnsi="Times New Roman" w:eastAsia="仿宋_GB2312" w:cs="Times New Roman"/>
                <w:sz w:val="22"/>
              </w:rPr>
            </w:pPr>
            <w:r>
              <w:rPr>
                <w:rFonts w:ascii="Times New Roman" w:hAnsi="Times New Roman" w:eastAsia="宋体" w:cs="Times New Roman"/>
                <w:b/>
                <w:bCs/>
                <w:sz w:val="22"/>
              </w:rPr>
              <w:t>重点培育发展方向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pPr>
              <w:spacing w:line="360" w:lineRule="auto"/>
              <w:jc w:val="center"/>
              <w:rPr>
                <w:rFonts w:ascii="Times New Roman" w:hAnsi="Times New Roman" w:eastAsia="仿宋_GB2312" w:cs="Times New Roman"/>
                <w:sz w:val="22"/>
              </w:rPr>
            </w:pPr>
            <w:r>
              <w:rPr>
                <w:rFonts w:hint="eastAsia" w:ascii="Times New Roman" w:hAnsi="Times New Roman" w:eastAsia="宋体" w:cs="Times New Roman"/>
                <w:sz w:val="22"/>
              </w:rPr>
              <w:t>电子信息</w:t>
            </w:r>
          </w:p>
        </w:tc>
        <w:tc>
          <w:tcPr>
            <w:tcW w:w="7138" w:type="dxa"/>
            <w:tcBorders>
              <w:tl2br w:val="nil"/>
              <w:tr2bl w:val="nil"/>
            </w:tcBorders>
            <w:vAlign w:val="center"/>
          </w:tcPr>
          <w:p>
            <w:pPr>
              <w:spacing w:line="360" w:lineRule="auto"/>
              <w:rPr>
                <w:rFonts w:ascii="Times New Roman" w:hAnsi="Times New Roman" w:eastAsia="仿宋_GB2312" w:cs="Times New Roman"/>
                <w:sz w:val="22"/>
              </w:rPr>
            </w:pPr>
            <w:r>
              <w:rPr>
                <w:rFonts w:ascii="Times New Roman" w:hAnsi="Times New Roman" w:eastAsia="宋体" w:cs="Times New Roman"/>
                <w:sz w:val="22"/>
              </w:rPr>
              <w:t>着力发展</w:t>
            </w:r>
            <w:r>
              <w:rPr>
                <w:rFonts w:hint="eastAsia" w:ascii="Times New Roman" w:hAnsi="Times New Roman" w:eastAsia="宋体" w:cs="Times New Roman"/>
                <w:sz w:val="22"/>
              </w:rPr>
              <w:t>氮化镓（</w:t>
            </w:r>
            <w:r>
              <w:rPr>
                <w:rFonts w:ascii="Times New Roman" w:hAnsi="Times New Roman" w:eastAsia="宋体" w:cs="Times New Roman"/>
                <w:sz w:val="22"/>
              </w:rPr>
              <w:t>GaN</w:t>
            </w:r>
            <w:r>
              <w:rPr>
                <w:rFonts w:hint="eastAsia" w:ascii="Times New Roman" w:hAnsi="Times New Roman" w:eastAsia="宋体" w:cs="Times New Roman"/>
                <w:sz w:val="22"/>
              </w:rPr>
              <w:t>）</w:t>
            </w:r>
            <w:r>
              <w:rPr>
                <w:rFonts w:ascii="Times New Roman" w:hAnsi="Times New Roman" w:eastAsia="宋体" w:cs="Times New Roman"/>
                <w:sz w:val="22"/>
              </w:rPr>
              <w:t>、</w:t>
            </w:r>
            <w:r>
              <w:rPr>
                <w:rFonts w:hint="eastAsia" w:ascii="Times New Roman" w:hAnsi="Times New Roman" w:eastAsia="宋体" w:cs="Times New Roman"/>
                <w:sz w:val="22"/>
              </w:rPr>
              <w:t>碳化硅（</w:t>
            </w:r>
            <w:r>
              <w:rPr>
                <w:rFonts w:ascii="Times New Roman" w:hAnsi="Times New Roman" w:eastAsia="宋体" w:cs="Times New Roman"/>
                <w:sz w:val="22"/>
              </w:rPr>
              <w:t>SiC</w:t>
            </w:r>
            <w:r>
              <w:rPr>
                <w:rFonts w:hint="eastAsia" w:ascii="Times New Roman" w:hAnsi="Times New Roman" w:eastAsia="宋体" w:cs="Times New Roman"/>
                <w:sz w:val="22"/>
              </w:rPr>
              <w:t>）、砷化镓（</w:t>
            </w:r>
            <w:r>
              <w:rPr>
                <w:rFonts w:ascii="Times New Roman" w:hAnsi="Times New Roman" w:eastAsia="宋体" w:cs="Times New Roman"/>
                <w:sz w:val="22"/>
              </w:rPr>
              <w:t>GaAs</w:t>
            </w:r>
            <w:r>
              <w:rPr>
                <w:rFonts w:hint="eastAsia" w:ascii="Times New Roman" w:hAnsi="Times New Roman" w:eastAsia="宋体" w:cs="Times New Roman"/>
                <w:sz w:val="22"/>
              </w:rPr>
              <w:t>）</w:t>
            </w:r>
            <w:r>
              <w:rPr>
                <w:rFonts w:ascii="Times New Roman" w:hAnsi="Times New Roman" w:eastAsia="宋体" w:cs="Times New Roman"/>
                <w:sz w:val="22"/>
              </w:rPr>
              <w:t>等化合物半导体材料</w:t>
            </w:r>
            <w:r>
              <w:rPr>
                <w:rFonts w:hint="eastAsia" w:ascii="Times New Roman" w:hAnsi="Times New Roman" w:eastAsia="宋体" w:cs="Times New Roman"/>
                <w:sz w:val="22"/>
              </w:rPr>
              <w:t>，</w:t>
            </w:r>
            <w:r>
              <w:rPr>
                <w:rFonts w:ascii="Times New Roman" w:hAnsi="Times New Roman" w:eastAsia="宋体" w:cs="Times New Roman"/>
                <w:sz w:val="22"/>
              </w:rPr>
              <w:t>重点发展</w:t>
            </w:r>
            <w:r>
              <w:rPr>
                <w:rFonts w:hint="eastAsia" w:ascii="Times New Roman" w:hAnsi="Times New Roman" w:eastAsia="宋体" w:cs="Times New Roman"/>
                <w:sz w:val="22"/>
              </w:rPr>
              <w:t>面向智能电器、光伏、LED、通信、汽车电子等行业的</w:t>
            </w:r>
            <w:r>
              <w:rPr>
                <w:rFonts w:ascii="Times New Roman" w:hAnsi="Times New Roman" w:eastAsia="宋体" w:cs="Times New Roman"/>
                <w:sz w:val="22"/>
              </w:rPr>
              <w:t>通信芯片、电源芯片、控制芯片</w:t>
            </w:r>
            <w:r>
              <w:rPr>
                <w:rFonts w:hint="eastAsia" w:ascii="Times New Roman" w:hAnsi="Times New Roman" w:eastAsia="宋体" w:cs="Times New Roman"/>
                <w:sz w:val="22"/>
              </w:rPr>
              <w:t>及模组。</w:t>
            </w:r>
            <w:r>
              <w:rPr>
                <w:rFonts w:ascii="Times New Roman" w:hAnsi="Times New Roman" w:eastAsia="宋体" w:cs="Times New Roman"/>
                <w:sz w:val="22"/>
              </w:rPr>
              <w:t>大力发展功率</w:t>
            </w:r>
            <w:r>
              <w:rPr>
                <w:rFonts w:hint="eastAsia" w:ascii="Times New Roman" w:hAnsi="Times New Roman" w:eastAsia="宋体" w:cs="Times New Roman"/>
                <w:sz w:val="22"/>
              </w:rPr>
              <w:t>器件</w:t>
            </w:r>
            <w:r>
              <w:rPr>
                <w:rFonts w:ascii="Times New Roman" w:hAnsi="Times New Roman" w:eastAsia="宋体" w:cs="Times New Roman"/>
                <w:sz w:val="22"/>
              </w:rPr>
              <w:t>和智能传感器制造，重点发展电力电子器件、射频器件、微波器件等制造</w:t>
            </w:r>
            <w:r>
              <w:rPr>
                <w:rFonts w:hint="eastAsia" w:ascii="Times New Roman" w:hAnsi="Times New Roman" w:eastAsia="宋体" w:cs="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pPr>
              <w:spacing w:line="360" w:lineRule="auto"/>
              <w:jc w:val="center"/>
              <w:rPr>
                <w:rFonts w:ascii="Times New Roman" w:hAnsi="Times New Roman" w:eastAsia="仿宋_GB2312" w:cs="Times New Roman"/>
                <w:sz w:val="22"/>
              </w:rPr>
            </w:pPr>
            <w:r>
              <w:rPr>
                <w:rFonts w:ascii="Times New Roman" w:hAnsi="Times New Roman" w:eastAsia="宋体" w:cs="Times New Roman"/>
                <w:sz w:val="22"/>
              </w:rPr>
              <w:t>工业机器人</w:t>
            </w:r>
          </w:p>
        </w:tc>
        <w:tc>
          <w:tcPr>
            <w:tcW w:w="7138" w:type="dxa"/>
            <w:tcBorders>
              <w:tl2br w:val="nil"/>
              <w:tr2bl w:val="nil"/>
            </w:tcBorders>
            <w:vAlign w:val="center"/>
          </w:tcPr>
          <w:p>
            <w:pPr>
              <w:spacing w:line="360" w:lineRule="auto"/>
              <w:rPr>
                <w:rFonts w:ascii="Times New Roman" w:hAnsi="Times New Roman" w:eastAsia="仿宋_GB2312" w:cs="Times New Roman"/>
                <w:sz w:val="22"/>
              </w:rPr>
            </w:pPr>
            <w:r>
              <w:rPr>
                <w:rFonts w:ascii="Times New Roman" w:hAnsi="Times New Roman" w:eastAsia="宋体" w:cs="Times New Roman"/>
                <w:sz w:val="22"/>
              </w:rPr>
              <w:t>发展轻量化工业机器人本体、关键零部件及成套系统，重点发展高精密减速器、机械臂、高性能传感器、高性能控制器和高档伺服电机等工业机器人关键零部件研发及产业化，逐步打造“设计-整机及关键零部件制造-信息系统集成”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pPr>
              <w:spacing w:line="360" w:lineRule="auto"/>
              <w:jc w:val="center"/>
              <w:rPr>
                <w:rFonts w:ascii="Times New Roman" w:hAnsi="Times New Roman" w:eastAsia="仿宋_GB2312" w:cs="Times New Roman"/>
                <w:sz w:val="22"/>
              </w:rPr>
            </w:pPr>
            <w:r>
              <w:rPr>
                <w:rFonts w:ascii="Times New Roman" w:hAnsi="Times New Roman" w:eastAsia="宋体" w:cs="Times New Roman"/>
                <w:sz w:val="22"/>
              </w:rPr>
              <w:t>光伏产业</w:t>
            </w:r>
          </w:p>
        </w:tc>
        <w:tc>
          <w:tcPr>
            <w:tcW w:w="7138" w:type="dxa"/>
            <w:tcBorders>
              <w:tl2br w:val="nil"/>
              <w:tr2bl w:val="nil"/>
            </w:tcBorders>
            <w:vAlign w:val="center"/>
          </w:tcPr>
          <w:p>
            <w:pPr>
              <w:spacing w:line="360" w:lineRule="auto"/>
              <w:rPr>
                <w:rFonts w:ascii="Times New Roman" w:hAnsi="Times New Roman" w:eastAsia="仿宋_GB2312" w:cs="Times New Roman"/>
                <w:sz w:val="22"/>
              </w:rPr>
            </w:pPr>
            <w:r>
              <w:rPr>
                <w:rFonts w:ascii="Times New Roman" w:hAnsi="Times New Roman" w:eastAsia="宋体" w:cs="Times New Roman"/>
                <w:sz w:val="22"/>
              </w:rPr>
              <w:t>发挥晶科光伏等企业带动作用，推进产业链资源整合及增量引进，重点发展薄膜晶硅电池及组件、非晶硅薄膜电池等前沿制造，着力提高光电转换效率和组件封装技术水平。大力发展高转换率太阳能光伏电池、组件产品等，开发单晶硅太阳能电池高温低频PECVD氮化硅镀膜、自动跟踪聚光太阳能电池、非晶硅薄膜太阳能电池等新型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pPr>
              <w:spacing w:line="360" w:lineRule="auto"/>
              <w:jc w:val="center"/>
              <w:rPr>
                <w:rFonts w:ascii="Times New Roman" w:hAnsi="Times New Roman" w:eastAsia="仿宋_GB2312" w:cs="Times New Roman"/>
                <w:sz w:val="22"/>
              </w:rPr>
            </w:pPr>
            <w:r>
              <w:rPr>
                <w:rFonts w:ascii="Times New Roman" w:hAnsi="Times New Roman" w:eastAsia="宋体" w:cs="Times New Roman"/>
                <w:sz w:val="22"/>
              </w:rPr>
              <w:t>未来产业</w:t>
            </w:r>
          </w:p>
        </w:tc>
        <w:tc>
          <w:tcPr>
            <w:tcW w:w="7138" w:type="dxa"/>
            <w:tcBorders>
              <w:tl2br w:val="nil"/>
              <w:tr2bl w:val="nil"/>
            </w:tcBorders>
            <w:vAlign w:val="center"/>
          </w:tcPr>
          <w:p>
            <w:pPr>
              <w:spacing w:line="360" w:lineRule="auto"/>
              <w:rPr>
                <w:rFonts w:ascii="Times New Roman" w:hAnsi="Times New Roman" w:eastAsia="仿宋_GB2312" w:cs="Times New Roman"/>
                <w:sz w:val="22"/>
              </w:rPr>
            </w:pPr>
            <w:r>
              <w:rPr>
                <w:rFonts w:ascii="Times New Roman" w:hAnsi="Times New Roman" w:eastAsia="宋体" w:cs="Times New Roman"/>
                <w:sz w:val="22"/>
              </w:rPr>
              <w:t>着力引进和培育人工智能、大数据、云计算、区块链、5G等产业。支持研发面向智能装备、智能机器人、数控机床等的嵌入式软件。培育工业互联网、智能制造解决方案等数字化服务。</w:t>
            </w:r>
          </w:p>
        </w:tc>
      </w:tr>
    </w:tbl>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bCs/>
          <w:sz w:val="32"/>
          <w:szCs w:val="32"/>
        </w:rPr>
        <w:t>2.实施产业链精准招引。</w:t>
      </w:r>
      <w:r>
        <w:rPr>
          <w:rFonts w:ascii="Times New Roman" w:hAnsi="Times New Roman" w:eastAsia="仿宋_GB2312" w:cs="Times New Roman"/>
          <w:sz w:val="32"/>
          <w:szCs w:val="36"/>
        </w:rPr>
        <w:t>聚焦数字经济核心产业体系构建和标志性产业链培育，梳理“强链、补链、建链”环节，制定产业链精准招商地图，以玉环南湾智谷产业园等园区为主体，面向全球开展产业链</w:t>
      </w:r>
      <w:r>
        <w:rPr>
          <w:rFonts w:ascii="Times New Roman" w:hAnsi="Times New Roman" w:eastAsia="仿宋_GB2312" w:cs="Times New Roman"/>
          <w:kern w:val="0"/>
          <w:sz w:val="32"/>
          <w:szCs w:val="32"/>
        </w:rPr>
        <w:t>靶向招引</w:t>
      </w:r>
      <w:r>
        <w:rPr>
          <w:rFonts w:ascii="Times New Roman" w:hAnsi="Times New Roman" w:eastAsia="仿宋_GB2312" w:cs="Times New Roman"/>
          <w:sz w:val="32"/>
          <w:szCs w:val="36"/>
        </w:rPr>
        <w:t>。以制造业数字化为重点，面向全市制造企业定期征集和发布数字化转型场景，按照“以场景换项目、以项目落企业、以企业聚产业”的思路，着力引进工业互联网、智能制造、数字化园区等领域的信息工程服务商。改革招商机制，</w:t>
      </w:r>
      <w:r>
        <w:rPr>
          <w:rFonts w:hint="eastAsia" w:ascii="Times New Roman" w:hAnsi="Times New Roman" w:eastAsia="仿宋_GB2312" w:cs="Times New Roman"/>
          <w:sz w:val="32"/>
          <w:szCs w:val="36"/>
        </w:rPr>
        <w:t>组建</w:t>
      </w:r>
      <w:r>
        <w:rPr>
          <w:rFonts w:ascii="Times New Roman" w:hAnsi="Times New Roman" w:eastAsia="仿宋_GB2312" w:cs="Times New Roman"/>
          <w:sz w:val="32"/>
          <w:szCs w:val="36"/>
        </w:rPr>
        <w:t>数字经济产业</w:t>
      </w:r>
      <w:r>
        <w:rPr>
          <w:rFonts w:hint="eastAsia" w:ascii="Times New Roman" w:hAnsi="Times New Roman" w:eastAsia="仿宋_GB2312" w:cs="Times New Roman"/>
          <w:sz w:val="32"/>
          <w:szCs w:val="36"/>
        </w:rPr>
        <w:t>发展独立法人</w:t>
      </w:r>
      <w:r>
        <w:rPr>
          <w:rFonts w:ascii="Times New Roman" w:hAnsi="Times New Roman" w:eastAsia="仿宋_GB2312" w:cs="Times New Roman"/>
          <w:sz w:val="32"/>
          <w:szCs w:val="36"/>
        </w:rPr>
        <w:t>，</w:t>
      </w:r>
      <w:r>
        <w:rPr>
          <w:rFonts w:hint="eastAsia" w:ascii="Times New Roman" w:hAnsi="Times New Roman" w:eastAsia="仿宋_GB2312" w:cs="Times New Roman"/>
          <w:sz w:val="32"/>
          <w:szCs w:val="36"/>
        </w:rPr>
        <w:t>开展数字经济专项引育；</w:t>
      </w:r>
      <w:r>
        <w:rPr>
          <w:rFonts w:ascii="Times New Roman" w:hAnsi="Times New Roman" w:eastAsia="仿宋_GB2312" w:cs="Times New Roman"/>
          <w:sz w:val="32"/>
          <w:szCs w:val="36"/>
        </w:rPr>
        <w:t>利用产业招商顾问、创业创新大赛、以商引商、以才引企、大数据招商等模式，</w:t>
      </w:r>
      <w:r>
        <w:rPr>
          <w:rFonts w:ascii="Times New Roman" w:hAnsi="Times New Roman" w:eastAsia="仿宋_GB2312" w:cs="Times New Roman"/>
          <w:kern w:val="0"/>
          <w:sz w:val="32"/>
          <w:szCs w:val="32"/>
        </w:rPr>
        <w:t>提升项目和企业招引效率及质量，确保一批重大项目落地。</w:t>
      </w:r>
    </w:p>
    <w:p>
      <w:pPr>
        <w:spacing w:line="360" w:lineRule="auto"/>
        <w:ind w:firstLine="640" w:firstLineChars="200"/>
        <w:rPr>
          <w:rFonts w:hint="eastAsia" w:ascii="Times New Roman" w:hAnsi="Times New Roman" w:eastAsia="仿宋_GB2312" w:cs="Times New Roman"/>
          <w:kern w:val="0"/>
          <w:sz w:val="32"/>
          <w:szCs w:val="32"/>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2"/>
                <w:szCs w:val="24"/>
              </w:rPr>
            </w:pPr>
            <w:r>
              <w:rPr>
                <w:rFonts w:ascii="Times New Roman" w:hAnsi="Times New Roman" w:eastAsia="宋体" w:cs="Times New Roman"/>
                <w:b/>
                <w:bCs/>
                <w:sz w:val="22"/>
                <w:szCs w:val="24"/>
              </w:rPr>
              <w:t>专栏一 精准招引“双百”工程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1）探索组建数字经济产业发展市场化机构，整合全市数字经济项目招商、产业促进等职能，建立灵活多样的产业投资促进模式。主动对接和承接珠三角地区、长三角地区的产业转移，以市场化方式面向全球开展数字核心产业集群重大项目招引。（责任单位：市投资促进中心、市经信局、市国资委）</w:t>
            </w:r>
          </w:p>
          <w:p>
            <w:pPr>
              <w:spacing w:line="360" w:lineRule="auto"/>
              <w:ind w:firstLine="440" w:firstLineChars="200"/>
              <w:rPr>
                <w:rFonts w:ascii="Times New Roman" w:hAnsi="Times New Roman" w:eastAsia="宋体" w:cs="Times New Roman"/>
                <w:b/>
                <w:bCs/>
                <w:sz w:val="22"/>
                <w:szCs w:val="24"/>
              </w:rPr>
            </w:pPr>
            <w:r>
              <w:rPr>
                <w:rFonts w:ascii="Times New Roman" w:hAnsi="Times New Roman" w:eastAsia="宋体" w:cs="Times New Roman"/>
                <w:sz w:val="22"/>
                <w:szCs w:val="24"/>
              </w:rPr>
              <w:t>（2）以</w:t>
            </w:r>
            <w:r>
              <w:rPr>
                <w:rFonts w:hint="eastAsia" w:ascii="Times New Roman" w:hAnsi="Times New Roman" w:eastAsia="宋体" w:cs="Times New Roman"/>
                <w:sz w:val="22"/>
                <w:szCs w:val="24"/>
              </w:rPr>
              <w:t>玉环</w:t>
            </w:r>
            <w:r>
              <w:rPr>
                <w:rFonts w:ascii="Times New Roman" w:hAnsi="Times New Roman" w:eastAsia="宋体" w:cs="Times New Roman"/>
                <w:sz w:val="22"/>
                <w:szCs w:val="24"/>
              </w:rPr>
              <w:t>南湾智谷产业园、高端智能制造产业园等园区为主体，针对集成电路、工业机器人等数字经济核心产业，引进100个数字经济核心制造业项目。引进工业互联网、智能制造、园区数字化等数字经济核心服务项目100个。到2025年，全市数字经济领域新增引进投资100亿元，投资额超亿元项目50个、超10亿元项目5个。（责任单位：市投资促进中心、市经信局、芦浦镇、玉环经济开发区）</w:t>
            </w:r>
          </w:p>
        </w:tc>
      </w:tr>
    </w:tbl>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3.构建数字经济企业梯队。</w:t>
      </w:r>
      <w:r>
        <w:rPr>
          <w:rFonts w:ascii="Times New Roman" w:hAnsi="Times New Roman" w:eastAsia="仿宋_GB2312" w:cs="Times New Roman"/>
          <w:sz w:val="32"/>
          <w:szCs w:val="32"/>
        </w:rPr>
        <w:t>构建多层次、分阶段、递进式的培育体系，实施领航企业“跨越计划”，瞄准数字经济领域的雄鹰、巨龙、凤凰企业，以产业链并购和生态链整合构建产业共同体，大力推进琦星智能、中捷缝纫、沪龙科技等核心制造龙头企业提质提效，确保</w:t>
      </w:r>
      <w:r>
        <w:rPr>
          <w:rFonts w:hint="eastAsia" w:ascii="Times New Roman" w:hAnsi="Times New Roman" w:eastAsia="仿宋_GB2312" w:cs="Times New Roman"/>
          <w:sz w:val="32"/>
          <w:szCs w:val="32"/>
        </w:rPr>
        <w:t>领航企业</w:t>
      </w:r>
      <w:r>
        <w:rPr>
          <w:rFonts w:ascii="Times New Roman" w:hAnsi="Times New Roman" w:eastAsia="仿宋_GB2312" w:cs="Times New Roman"/>
          <w:sz w:val="32"/>
          <w:szCs w:val="32"/>
        </w:rPr>
        <w:t>对数字经济增加值贡献占比50%以上。支持成长企业加速发展，实施“飞轮计划”，瞄准数字经济领域的玉龙、潜龙、瞪羚、“隐形冠军”“单项冠军”企业，优先保障用地、用能、资金等要素资源，培育效益突出、增强潜力巨大的中小企业生态，夯实数字经济基底。支持创业创新小微企业升规发展，瞄准科技企业孵化和创新成果产业转化，积极培育数字经济小微企业，拓展企业培大育强空间。</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2"/>
                <w:szCs w:val="24"/>
              </w:rPr>
            </w:pPr>
            <w:r>
              <w:rPr>
                <w:rFonts w:ascii="Times New Roman" w:hAnsi="Times New Roman" w:eastAsia="仿宋_GB2312" w:cs="Times New Roman"/>
                <w:kern w:val="0"/>
                <w:sz w:val="22"/>
                <w:szCs w:val="24"/>
              </w:rPr>
              <w:t xml:space="preserve"> </w:t>
            </w:r>
            <w:r>
              <w:rPr>
                <w:rFonts w:ascii="Times New Roman" w:hAnsi="Times New Roman" w:eastAsia="宋体" w:cs="Times New Roman"/>
                <w:b/>
                <w:bCs/>
                <w:sz w:val="22"/>
                <w:szCs w:val="24"/>
              </w:rPr>
              <w:t>专栏二 企业成长“破茧”工程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1）实施领航企业“跨越计划”。围绕数字核心产业集群培育，重点引进一批大企业、独角兽企业、准独角兽企业。以年产值亿元以上数字经济核心产业企业为主体，建立企业培育清单，建立“一领导一企业一方案”和驻企专员的企业育强服务机制。引导企业开展产业链并购、生态链整合，促进企业规模做大、竞争实力做强。推动研发机构全覆盖，增强企业的创新竞争能力。到2025年，培育年产值亿元以上数字经济企业10家，其中，超10亿元企业1家以上。（责任单位：市经信局、市商务局、市科技局、市金融工作中心）</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2）实施成长企业“飞轮计划”。围绕数字核心产业集群培育，着力引进一批行业细分领域具备竞争优势的潜力企业。建立成长企业培育库，设立数字经济成长企业基金，定期发布我市数字经济应用场景，加大对入库企业的金融支持和市场支持。引导企业建立自主品牌，增强行业影响力。到2025年，培育数字经济核心产业规上企业20家、“专精特新”企业10家。（责任单位：市经信局、市商务局、市科技局、市金融工作中心）</w:t>
            </w:r>
          </w:p>
          <w:p>
            <w:pPr>
              <w:spacing w:line="360" w:lineRule="auto"/>
              <w:ind w:firstLine="440" w:firstLineChars="200"/>
              <w:rPr>
                <w:rFonts w:ascii="Times New Roman" w:hAnsi="Times New Roman" w:eastAsia="宋体" w:cs="Times New Roman"/>
                <w:kern w:val="0"/>
                <w:sz w:val="22"/>
                <w:szCs w:val="24"/>
              </w:rPr>
            </w:pPr>
            <w:r>
              <w:rPr>
                <w:rFonts w:ascii="Times New Roman" w:hAnsi="Times New Roman" w:eastAsia="宋体" w:cs="Times New Roman"/>
                <w:sz w:val="22"/>
                <w:szCs w:val="24"/>
              </w:rPr>
              <w:t>（3）实施企业上市“凤凰计划”。聚力数字经济领域上市企业培育，建立储备库，引导有条件的企业借力主板市场、创业板、科创板等上市发展。支持市内同行业企业兼并重组。到2025年，培育数字经济上市企业1家。（责任单位：市经信局、市金融工作中心）</w:t>
            </w:r>
          </w:p>
        </w:tc>
      </w:tr>
    </w:tbl>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4</w:t>
      </w:r>
      <w:r>
        <w:rPr>
          <w:rFonts w:ascii="Times New Roman" w:hAnsi="Times New Roman" w:eastAsia="仿宋_GB2312" w:cs="Times New Roman"/>
          <w:b/>
          <w:bCs/>
          <w:sz w:val="32"/>
          <w:szCs w:val="32"/>
        </w:rPr>
        <w:t>.建设高能级产业平台。</w:t>
      </w:r>
      <w:r>
        <w:rPr>
          <w:rFonts w:ascii="Times New Roman" w:hAnsi="Times New Roman" w:eastAsia="仿宋_GB2312" w:cs="Times New Roman"/>
          <w:sz w:val="32"/>
          <w:szCs w:val="32"/>
        </w:rPr>
        <w:t>加快推进玉环南湾智谷产业园、高端智能制造产业园等重点产业平台建设，</w:t>
      </w:r>
      <w:r>
        <w:rPr>
          <w:rFonts w:hint="eastAsia" w:ascii="Times New Roman" w:hAnsi="Times New Roman" w:eastAsia="仿宋_GB2312" w:cs="Times New Roman"/>
          <w:sz w:val="32"/>
          <w:szCs w:val="32"/>
        </w:rPr>
        <w:t>谋划坎门里澳现代交通产业园、玉环市科创产业园等平台，</w:t>
      </w:r>
      <w:r>
        <w:rPr>
          <w:rFonts w:ascii="Times New Roman" w:hAnsi="Times New Roman" w:eastAsia="仿宋_GB2312" w:cs="Times New Roman"/>
          <w:sz w:val="32"/>
          <w:szCs w:val="32"/>
        </w:rPr>
        <w:t>引导数字经济企业集聚，打造标志性数字经济产业主平台。按照“一平台一产业链一集群”的模式建设一批“专精特”主题园区，支持数字经济小微企业园建设，打造产业集聚示范园，形成一批产业特色突出、亩产效益凸显的专业平台。谋划建设产业协作大平台，在上海、深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杭州、宁波、苏州等数字经济发达地区建设产业飞地，探索建设跨区域的产业转移合作园，形成“飞地研发-在地制造”“在地总部-飞地创新孵化-在地制造”的借力发展模式。</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2"/>
                <w:szCs w:val="24"/>
              </w:rPr>
            </w:pPr>
            <w:r>
              <w:rPr>
                <w:rFonts w:ascii="Times New Roman" w:hAnsi="Times New Roman" w:eastAsia="宋体" w:cs="Times New Roman"/>
                <w:b/>
                <w:bCs/>
                <w:sz w:val="22"/>
                <w:szCs w:val="24"/>
              </w:rPr>
              <w:t>专栏三 产业平台“蝶变”工程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（1）聚力玉环南湾智谷产业园，建设标准厂房和生活配套设施，重点引进</w:t>
            </w:r>
            <w:r>
              <w:rPr>
                <w:rFonts w:hint="eastAsia" w:ascii="Times New Roman" w:hAnsi="Times New Roman" w:eastAsia="宋体" w:cs="Times New Roman"/>
                <w:sz w:val="22"/>
                <w:szCs w:val="24"/>
              </w:rPr>
              <w:t>电子信息</w:t>
            </w:r>
            <w:r>
              <w:rPr>
                <w:rFonts w:ascii="Times New Roman" w:hAnsi="Times New Roman" w:eastAsia="宋体" w:cs="Times New Roman"/>
                <w:sz w:val="22"/>
                <w:szCs w:val="24"/>
              </w:rPr>
              <w:t>、智能制造等核心产业项目，打造集产业研发、智能制造、技术创新于一体的浙东南数字化智慧产业园</w:t>
            </w:r>
            <w:r>
              <w:rPr>
                <w:rFonts w:hint="eastAsia" w:ascii="Times New Roman" w:hAnsi="Times New Roman" w:eastAsia="宋体" w:cs="Times New Roman"/>
                <w:sz w:val="22"/>
                <w:szCs w:val="24"/>
              </w:rPr>
              <w:t>，</w:t>
            </w:r>
            <w:r>
              <w:rPr>
                <w:rFonts w:ascii="Times New Roman" w:hAnsi="Times New Roman" w:eastAsia="宋体" w:cs="Times New Roman"/>
                <w:sz w:val="22"/>
                <w:szCs w:val="24"/>
              </w:rPr>
              <w:t>到2025年，完成园区一期建设，数字经济核心产业集聚度达到75%以上，实现产值50亿元。（责任单位：市发改局、市经信局、市自然资源规划局、市生态环境分局、玉环经济开发区</w:t>
            </w:r>
            <w:r>
              <w:rPr>
                <w:rFonts w:hint="eastAsia" w:ascii="Times New Roman" w:hAnsi="Times New Roman" w:eastAsia="宋体" w:cs="Times New Roman"/>
                <w:sz w:val="22"/>
                <w:szCs w:val="24"/>
              </w:rPr>
              <w:t>、芦蒲镇</w:t>
            </w:r>
            <w:r>
              <w:rPr>
                <w:rFonts w:ascii="Times New Roman" w:hAnsi="Times New Roman" w:eastAsia="宋体" w:cs="Times New Roman"/>
                <w:sz w:val="22"/>
                <w:szCs w:val="24"/>
              </w:rPr>
              <w:t>）</w:t>
            </w:r>
            <w:r>
              <w:rPr>
                <w:rFonts w:hint="eastAsia" w:ascii="Times New Roman" w:hAnsi="Times New Roman" w:eastAsia="宋体" w:cs="Times New Roman"/>
                <w:sz w:val="22"/>
                <w:szCs w:val="24"/>
              </w:rPr>
              <w:t xml:space="preserve"> </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2）加快推进里阳半导体产业园、琦星工业机器人产业园、晶科光伏产业园等重点项目建设，依托大企业整合集聚产业链上下游企业，到2025年，培育“专精特”数字经济集聚示范园10个，实现产值50亿元。（责任单位：市发改局、市经信局、市自然资源规划局、市生态环境分局、玉环经济开发区）</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（3）开展园区发展绩效评价，建立数字经济</w:t>
            </w:r>
            <w:r>
              <w:rPr>
                <w:rFonts w:hint="eastAsia" w:ascii="Times New Roman" w:hAnsi="Times New Roman" w:eastAsia="宋体" w:cs="Times New Roman"/>
                <w:sz w:val="22"/>
                <w:szCs w:val="24"/>
              </w:rPr>
              <w:t>园区</w:t>
            </w:r>
            <w:r>
              <w:rPr>
                <w:rFonts w:ascii="Times New Roman" w:hAnsi="Times New Roman" w:eastAsia="宋体" w:cs="Times New Roman"/>
                <w:sz w:val="22"/>
                <w:szCs w:val="24"/>
              </w:rPr>
              <w:t>绩效评价体系，推进园区评价全覆盖，确保园区建设、企业发展、集群培育有力有效。（责任单位：市发改局、市经信局、市自然资源规划局、市生态环境分局、玉环经济开发区）</w:t>
            </w:r>
          </w:p>
        </w:tc>
      </w:tr>
    </w:tbl>
    <w:p>
      <w:pPr>
        <w:spacing w:line="360" w:lineRule="auto"/>
        <w:ind w:firstLine="643" w:firstLineChars="200"/>
        <w:outlineLvl w:val="1"/>
        <w:rPr>
          <w:rFonts w:ascii="Times New Roman" w:hAnsi="Times New Roman" w:eastAsia="楷体_GB2312" w:cs="Times New Roman"/>
          <w:b/>
          <w:bCs/>
          <w:sz w:val="32"/>
          <w:szCs w:val="32"/>
        </w:rPr>
      </w:pPr>
      <w:bookmarkStart w:id="80" w:name="_Toc80366805"/>
      <w:r>
        <w:rPr>
          <w:rFonts w:ascii="Times New Roman" w:hAnsi="Times New Roman" w:eastAsia="楷体_GB2312" w:cs="Times New Roman"/>
          <w:b/>
          <w:bCs/>
          <w:sz w:val="32"/>
          <w:szCs w:val="32"/>
        </w:rPr>
        <w:t>（二）树立数字转型“一盘棋”，构筑赋能高质量生态</w:t>
      </w:r>
      <w:bookmarkEnd w:id="80"/>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以产业数字化为主战场，扎实推进物联网、大数据、工业互联网、人工智能等新技术与制造业、服务业、农业渔业深度融合，建设行业大脑，打响促进传统产业转型升级、融合创新、提振提质的“攻坚战”。 </w:t>
      </w:r>
    </w:p>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2"/>
        </w:rPr>
        <w:t>1.推进制造业集群数字化转型。</w:t>
      </w:r>
      <w:r>
        <w:rPr>
          <w:rFonts w:ascii="Times New Roman" w:hAnsi="Times New Roman" w:eastAsia="仿宋_GB2312" w:cs="Times New Roman"/>
          <w:sz w:val="32"/>
          <w:szCs w:val="36"/>
        </w:rPr>
        <w:t>实施“工赋玉环”行动，在七大制造业集群构建一批产业链级、行业级、企业级、特定环节工业互联网平台体系，引导企业上云用平台。实施智能制造2.0行动，推进“精益制造+智能制造”变革，培育一批智能工厂、数字化车间，支持双环传动等大企业大集团建设未来工厂。深化制造业与互联网深度融合，着力推行个性化定制、网络化协同制造、服务型制造、共享制造等制造新模式。推广5G、人工智能等技术与装备产品技术融合，培育一批智能装备产品，促进产品价值链提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2"/>
              </w:rPr>
            </w:pPr>
            <w:r>
              <w:rPr>
                <w:rFonts w:ascii="Times New Roman" w:hAnsi="Times New Roman" w:eastAsia="宋体" w:cs="Times New Roman"/>
                <w:b/>
                <w:bCs/>
                <w:sz w:val="22"/>
              </w:rPr>
              <w:t>专栏四 数字赋能新制造工程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1）实施“工赋玉环”行动。在水暖阀门、工程机械、现代交通装备与关键零部件、机床、药械包装、缝纫设备等有一定基础的行业，培育5家产业带动能力突出的产业链级、行业级工业互联网平台和20家应用能力突出的企业级、特定环节工业互联网平台。实施“百企上平台”行动，推动产业级、行业级平台向产业链上下游配套企业、行业企业开放服务，引导全市规上工业企业接入平台，开展基于平台的业务创新、业务流程再造和组织模式创新，到2025年，培育制造业与互联网融合试点示范企业20家。（责任单位：市经信局）</w:t>
            </w:r>
          </w:p>
          <w:p>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2）实施行业大脑促进行动。以水暖阀门产业为重点，依托水暖阀门产业创新综合体，基于水暖阀门供应链平台、工业互联网平台，建设水暖阀门行业大脑，集成企业数字化应用与政府服务，促进行业企业数字化水平提升，争创省级示范试点。逐步建设机床行业大脑、现代交通装备与关键零部件行业大脑。（责任单位：市经信局、市发改局、市科技局、</w:t>
            </w:r>
            <w:r>
              <w:rPr>
                <w:rFonts w:hint="eastAsia" w:ascii="Times New Roman" w:hAnsi="Times New Roman" w:eastAsia="宋体" w:cs="Times New Roman"/>
                <w:sz w:val="22"/>
              </w:rPr>
              <w:t>市</w:t>
            </w:r>
            <w:r>
              <w:rPr>
                <w:rFonts w:ascii="Times New Roman" w:hAnsi="Times New Roman" w:eastAsia="宋体" w:cs="Times New Roman"/>
                <w:sz w:val="22"/>
              </w:rPr>
              <w:t>商务局）</w:t>
            </w:r>
          </w:p>
          <w:p>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3）实施智能制造2.0行动。在水暖阀门、现代交通装备与关键零部件、工程机械、家具、机床、药械包装、眼镜七大产业集群试点“精益制造+智能制造”，提升企业规范性和智能化水平。引导大中制造业企业实施整体智能化改造、中小微制造业企业实施重点环节智能化改造，打造一批智能制造样板，到2025年，力争培育未来工厂</w:t>
            </w:r>
            <w:r>
              <w:rPr>
                <w:rFonts w:hint="eastAsia" w:ascii="Times New Roman" w:hAnsi="Times New Roman" w:eastAsia="宋体" w:cs="Times New Roman"/>
                <w:sz w:val="22"/>
              </w:rPr>
              <w:t>、</w:t>
            </w:r>
            <w:r>
              <w:rPr>
                <w:rFonts w:ascii="Times New Roman" w:hAnsi="Times New Roman" w:eastAsia="宋体" w:cs="Times New Roman"/>
                <w:sz w:val="22"/>
              </w:rPr>
              <w:t>智能工厂、数字化车间30家</w:t>
            </w:r>
            <w:r>
              <w:rPr>
                <w:rFonts w:hint="eastAsia" w:ascii="Times New Roman" w:hAnsi="Times New Roman" w:eastAsia="宋体" w:cs="Times New Roman"/>
                <w:sz w:val="22"/>
              </w:rPr>
              <w:t>以上</w:t>
            </w:r>
            <w:r>
              <w:rPr>
                <w:rFonts w:ascii="Times New Roman" w:hAnsi="Times New Roman" w:eastAsia="宋体" w:cs="Times New Roman"/>
                <w:sz w:val="22"/>
              </w:rPr>
              <w:t>；实施“机器换人”示范项目50个，新增工业机器人1500台。（责任单位：市经信局）</w:t>
            </w:r>
          </w:p>
          <w:p>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4）实施新兴技术融合应用行动。推进“5G+”制造应用，开展5G在在工厂网络升级、工业AR、物流追踪、工业自动控制等中的应用，打造“透明工厂”。推进“AI+”制造应用，开展基于机器视觉、机器学习、智能识别等技术的产品缺陷检测、预测性维护、智能仓储与智能物流等场景应用。推进“大数据+”制造应用，鼓励企业内外部数据融合贯通和开放集成应用，探索服务型制造、大规模个性化定制等新模式。（责任单位：市经信局）</w:t>
            </w:r>
          </w:p>
          <w:p>
            <w:pPr>
              <w:spacing w:line="360" w:lineRule="auto"/>
              <w:ind w:firstLine="440" w:firstLineChars="200"/>
              <w:rPr>
                <w:rFonts w:ascii="Times New Roman" w:hAnsi="Times New Roman" w:eastAsia="仿宋_GB2312" w:cs="Times New Roman"/>
                <w:kern w:val="0"/>
                <w:sz w:val="22"/>
              </w:rPr>
            </w:pPr>
            <w:r>
              <w:rPr>
                <w:rFonts w:ascii="Times New Roman" w:hAnsi="Times New Roman" w:eastAsia="宋体" w:cs="Times New Roman"/>
                <w:sz w:val="22"/>
              </w:rPr>
              <w:t>（5）实施园区数字化深覆盖行动。推进市小微企业园数字化管理服务平台建设。对标省《数字化小微企业园建设运营通用要求》团体标准，推动全市小微企业园以企业服务、园区管理、安全生产、产业运行、政务服务等为核心建设“园区大脑”，提升园区建设能效，到2025年，实现所有小微企业园数字化建设全覆盖，培育4家省级数字化示范园区。建设开发区数字化管理平台，以数字应用提升开发区整体管理、产业促进、企业服务等成效。（责任单位：市经信局）</w:t>
            </w:r>
          </w:p>
        </w:tc>
      </w:tr>
    </w:tbl>
    <w:p>
      <w:pPr>
        <w:spacing w:line="360" w:lineRule="auto"/>
        <w:ind w:firstLine="643" w:firstLineChars="200"/>
        <w:rPr>
          <w:rFonts w:ascii="Times New Roman" w:hAnsi="Times New Roman" w:cs="Times New Roman"/>
          <w:szCs w:val="32"/>
        </w:rPr>
      </w:pPr>
      <w:r>
        <w:rPr>
          <w:rFonts w:ascii="Times New Roman" w:hAnsi="Times New Roman" w:eastAsia="仿宋_GB2312" w:cs="Times New Roman"/>
          <w:b/>
          <w:bCs/>
          <w:sz w:val="32"/>
          <w:szCs w:val="32"/>
        </w:rPr>
        <w:t>2.培育数字化服务新业态。</w:t>
      </w:r>
      <w:r>
        <w:rPr>
          <w:rFonts w:ascii="Times New Roman" w:hAnsi="Times New Roman" w:eastAsia="仿宋_GB2312" w:cs="Times New Roman"/>
          <w:sz w:val="32"/>
          <w:szCs w:val="36"/>
        </w:rPr>
        <w:t>培育数字化生产性服务，引导中捷智能运模缝纫设计中心等主体建设数字设计平台，推广数字工业设计、创意设计新模式。加快发展行业电商，建设汽车零部件、水暖阀门、眼镜等行业电商平台和农渔业电商平台。深化台州市跨境电商综试区玉环片区建设，支持出口企业</w:t>
      </w:r>
      <w:r>
        <w:rPr>
          <w:rFonts w:hint="eastAsia" w:ascii="Times New Roman" w:hAnsi="Times New Roman" w:eastAsia="仿宋_GB2312" w:cs="Times New Roman"/>
          <w:sz w:val="32"/>
          <w:szCs w:val="36"/>
        </w:rPr>
        <w:t>依托</w:t>
      </w:r>
      <w:r>
        <w:rPr>
          <w:rFonts w:ascii="Times New Roman" w:hAnsi="Times New Roman" w:eastAsia="仿宋_GB2312" w:cs="Times New Roman"/>
          <w:sz w:val="32"/>
          <w:szCs w:val="36"/>
        </w:rPr>
        <w:t>跨境贸易信息平台</w:t>
      </w:r>
      <w:r>
        <w:rPr>
          <w:rFonts w:hint="eastAsia" w:ascii="Times New Roman" w:hAnsi="Times New Roman" w:eastAsia="仿宋_GB2312" w:cs="Times New Roman"/>
          <w:sz w:val="32"/>
          <w:szCs w:val="36"/>
        </w:rPr>
        <w:t>等</w:t>
      </w:r>
      <w:r>
        <w:rPr>
          <w:rFonts w:ascii="Times New Roman" w:hAnsi="Times New Roman" w:eastAsia="仿宋_GB2312" w:cs="Times New Roman"/>
          <w:sz w:val="32"/>
          <w:szCs w:val="36"/>
        </w:rPr>
        <w:t>培育数字贸易新型主体。优化数字化供应链，提升建设玉环水暖阀门供应链平台，</w:t>
      </w:r>
      <w:r>
        <w:rPr>
          <w:rFonts w:hint="eastAsia" w:ascii="Times New Roman" w:hAnsi="Times New Roman" w:eastAsia="仿宋_GB2312" w:cs="Times New Roman"/>
          <w:sz w:val="32"/>
          <w:szCs w:val="36"/>
        </w:rPr>
        <w:t>打造内外贸一体化服务场景，</w:t>
      </w:r>
      <w:r>
        <w:rPr>
          <w:rFonts w:ascii="Times New Roman" w:hAnsi="Times New Roman" w:eastAsia="仿宋_GB2312" w:cs="Times New Roman"/>
          <w:sz w:val="32"/>
          <w:szCs w:val="36"/>
        </w:rPr>
        <w:t xml:space="preserve">畅通国内国际供应链。发展“互联网+”车货匹配、船港货匹配、无车承运人等智能物流产业。培育数字新生活服务，建设智慧商圈；推广数字商贸、在线教育、无接触式消费、互联网医疗、智慧养老、无人配送、智慧旅游等新业态，加快推进商业网点数字化升级。开展“移动支付之市”建设，推广移动支付工具，争取数字人民币试点及普及。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2"/>
                <w:szCs w:val="24"/>
              </w:rPr>
            </w:pPr>
            <w:r>
              <w:rPr>
                <w:rFonts w:ascii="Times New Roman" w:hAnsi="Times New Roman" w:eastAsia="宋体" w:cs="Times New Roman"/>
                <w:b/>
                <w:bCs/>
                <w:sz w:val="22"/>
                <w:szCs w:val="24"/>
              </w:rPr>
              <w:t>专栏五 数字新业态培育工程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1）大力发展跨境电子商务。开展跨境订单生产和贸易，打造互联网丝绸之路。建立电子商务进出口新型海关监管和检验监管模式，实施适应跨境电商特点的进出口税收政策，建立电商出口信用体系。进一步便利跨境电商企业收结汇，共同推进跨境电商人民币结算业务发展，探索开展跨境支付业务。（责任单位：市商务局</w:t>
            </w:r>
            <w:r>
              <w:rPr>
                <w:rFonts w:hint="eastAsia" w:ascii="Times New Roman" w:hAnsi="Times New Roman" w:eastAsia="宋体" w:cs="Times New Roman"/>
                <w:sz w:val="22"/>
                <w:szCs w:val="24"/>
              </w:rPr>
              <w:t>、台州海关玉环办事处、人民银行、税务局</w:t>
            </w:r>
            <w:r>
              <w:rPr>
                <w:rFonts w:ascii="Times New Roman" w:hAnsi="Times New Roman" w:eastAsia="宋体" w:cs="Times New Roman"/>
                <w:sz w:val="22"/>
                <w:szCs w:val="24"/>
              </w:rPr>
              <w:t>）</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2）建设海峡两岸经贸信息服务平台。以政府引导、市场主导、公益服务模式，搭建海峡两岸经贸合作公共信息服务平台，夯实两岸交流综合门户网站、两岸经贸合作数据中心和项目信息发布中心“一门户两中心”，集聚海峡两岸市场需求者、供给方、专业服务商等多方资源，构建诚信经贸生态圈，促进两岸小微企业加强经贸交流、合作。（责任单位：浙台（玉环）经贸合作区）</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（3）深度推进“互联网+会展”线上展览模式，</w:t>
            </w:r>
            <w:r>
              <w:rPr>
                <w:rFonts w:hint="eastAsia" w:ascii="Times New Roman" w:hAnsi="Times New Roman" w:eastAsia="宋体" w:cs="Times New Roman"/>
                <w:sz w:val="22"/>
                <w:szCs w:val="24"/>
              </w:rPr>
              <w:t>大力支持企业参加出口网上交易会</w:t>
            </w:r>
            <w:r>
              <w:rPr>
                <w:rFonts w:ascii="Times New Roman" w:hAnsi="Times New Roman" w:eastAsia="宋体" w:cs="Times New Roman"/>
                <w:sz w:val="22"/>
                <w:szCs w:val="24"/>
              </w:rPr>
              <w:t>，在保持欧美等传统市场份额基础上，着力开拓“一带一路”沿线国家</w:t>
            </w:r>
            <w:r>
              <w:rPr>
                <w:rFonts w:hint="eastAsia" w:ascii="Times New Roman" w:hAnsi="Times New Roman" w:eastAsia="宋体" w:cs="Times New Roman"/>
                <w:sz w:val="22"/>
                <w:szCs w:val="24"/>
              </w:rPr>
              <w:t>或地区</w:t>
            </w:r>
            <w:r>
              <w:rPr>
                <w:rFonts w:ascii="Times New Roman" w:hAnsi="Times New Roman" w:eastAsia="宋体" w:cs="Times New Roman"/>
                <w:sz w:val="22"/>
                <w:szCs w:val="24"/>
              </w:rPr>
              <w:t>。（责任单位：市商务局）</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4）发展智慧旅游，建设市智慧旅游云数据中心和智慧旅游行业运行监管平台、智慧旅游目的地公共服务平台（一期工程），部署智慧旅游应急指挥调度中心（一期）、旅游咨询和投诉系统等应用，完成包括信息安全等在内的基础设施建立。（责任单位：市文广旅体局）</w:t>
            </w:r>
          </w:p>
          <w:p>
            <w:pPr>
              <w:spacing w:line="360" w:lineRule="auto"/>
              <w:ind w:firstLine="440" w:firstLineChars="200"/>
              <w:rPr>
                <w:rFonts w:ascii="Times New Roman" w:hAnsi="Times New Roman" w:eastAsia="仿宋_GB2312" w:cs="Times New Roman"/>
                <w:kern w:val="0"/>
                <w:sz w:val="22"/>
                <w:szCs w:val="24"/>
              </w:rPr>
            </w:pPr>
            <w:r>
              <w:rPr>
                <w:rFonts w:ascii="Times New Roman" w:hAnsi="Times New Roman" w:eastAsia="宋体" w:cs="Times New Roman"/>
                <w:sz w:val="22"/>
                <w:szCs w:val="24"/>
              </w:rPr>
              <w:t>（5）建设智慧商圈。依托吾悦广场、万达广场等打造“智慧商圈”，加快建设一批“智慧街区”，实现城市社区邻里中心和农村社区综合性服务网点全覆盖。到2025年，争取进入数字生活新服务示范县（市、区）名单。（责任单位：市发改局）</w:t>
            </w:r>
          </w:p>
        </w:tc>
      </w:tr>
    </w:tbl>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6"/>
        </w:rPr>
        <w:t>3.发展特色高效数字农业。</w:t>
      </w:r>
      <w:r>
        <w:rPr>
          <w:rFonts w:ascii="Times New Roman" w:hAnsi="Times New Roman" w:eastAsia="仿宋_GB2312" w:cs="Times New Roman"/>
          <w:sz w:val="32"/>
          <w:szCs w:val="36"/>
        </w:rPr>
        <w:t xml:space="preserve">围绕设施农业、渔业、畜禽养殖、大田种植等领域，建设一批全省示范作用显著的数字农业示范基地（园区），开展农业物联网技术应用示范，推动农业水肥一体化智能灌溉、环境监测、智能控制、智能养殖机器人等装备和技术应用，推进农业机械设备和农业生产设施数字化改造。培育“互联网+订单农业”，鼓励玉环柚、海产品等特色农副产品农业主体与盒马鲜生等平台合作，建立产销衔接服务平台，实现农产品从田头到餐桌、从初级产品到终端消费无缝对接。推进智慧农业大数据应用，开展农产品质量安全追溯体系建设。实施渔船精密智控能力建设工程，完善数字渔业安全生产管理体系。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2"/>
                <w:szCs w:val="24"/>
              </w:rPr>
            </w:pPr>
            <w:r>
              <w:rPr>
                <w:rFonts w:ascii="Times New Roman" w:hAnsi="Times New Roman" w:eastAsia="宋体" w:cs="Times New Roman"/>
                <w:b/>
                <w:bCs/>
                <w:sz w:val="22"/>
                <w:szCs w:val="24"/>
              </w:rPr>
              <w:t>专栏六 数字农（渔）业培育工程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1）拓展“农业+互联网”。推进电子商务进社区、企业、农村、店家等“四进”工作，建设农村电子商务基础设施和电子商务村，推动电商平台与农业经营主体的合作。打造“农贸一体、产销结合”的现代农业产业基地，发展“互联网+”订单农业，形成具有玉环特色的农产旅游O2O 产业。（责任单位：市农业农村水利局）</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（2）建设数字乡村。实施宽带乡村工程和宽带提速工程，逐步普及百兆光宽带。建设“无线乡村”，优化4G 网络，适时推进5G 技术商用，进一步扩大公共场所免费WIFI 全覆盖范围。打通电视、手机、电脑终端，实现娱乐、社交等功能在不同终端的交互式使用，促进“广电便农”。构筑云服务平台，创新信息服务模式，推广网上办事和一站式服务。深入开展信息进村入户工程，全面推进村级益农信息社建设，开展公益服务、便民服务及电子商务、培训体验等服务。（责任单位：市农业农村水利局）</w:t>
            </w:r>
          </w:p>
          <w:p>
            <w:pPr>
              <w:spacing w:line="360" w:lineRule="auto"/>
              <w:ind w:firstLine="440" w:firstLineChars="200"/>
              <w:rPr>
                <w:rFonts w:ascii="Times New Roman" w:hAnsi="Times New Roman" w:eastAsia="仿宋_GB2312" w:cs="Times New Roman"/>
                <w:kern w:val="0"/>
                <w:sz w:val="22"/>
                <w:szCs w:val="24"/>
              </w:rPr>
            </w:pPr>
            <w:r>
              <w:rPr>
                <w:rFonts w:ascii="Times New Roman" w:hAnsi="Times New Roman" w:eastAsia="宋体" w:cs="Times New Roman"/>
                <w:sz w:val="22"/>
                <w:szCs w:val="24"/>
              </w:rPr>
              <w:t>（3）渔船精密智控能力建设。开发建设渔船近岸动态监管视频系统、海洋渔船安全救助信息系统、船港通综合管理协同应用平台系统、溯源平台（即水产品可追溯平台）、渔船业务自助办证系统（渔小二系统），开展智慧渔港建设，推进“宽带入海”，构建人船港一体智慧监管平台。到2022年，实现海上渔船精智监管全覆盖。（责任单位：市港航口岸渔业局）</w:t>
            </w:r>
          </w:p>
        </w:tc>
      </w:tr>
    </w:tbl>
    <w:p>
      <w:pPr>
        <w:spacing w:line="360" w:lineRule="auto"/>
        <w:ind w:firstLine="643" w:firstLineChars="200"/>
        <w:outlineLvl w:val="1"/>
        <w:rPr>
          <w:rFonts w:ascii="Times New Roman" w:hAnsi="Times New Roman" w:eastAsia="楷体_GB2312" w:cs="Times New Roman"/>
          <w:b/>
          <w:bCs/>
          <w:sz w:val="32"/>
          <w:szCs w:val="32"/>
        </w:rPr>
      </w:pPr>
      <w:bookmarkStart w:id="81" w:name="_Toc80366806"/>
      <w:r>
        <w:rPr>
          <w:rFonts w:ascii="Times New Roman" w:hAnsi="Times New Roman" w:eastAsia="楷体_GB2312" w:cs="Times New Roman"/>
          <w:b/>
          <w:bCs/>
          <w:sz w:val="32"/>
          <w:szCs w:val="32"/>
        </w:rPr>
        <w:t>（三）聚力科技创新“一引擎”，构筑数字科创生态</w:t>
      </w:r>
      <w:bookmarkEnd w:id="81"/>
      <w:r>
        <w:rPr>
          <w:rFonts w:ascii="Times New Roman" w:hAnsi="Times New Roman" w:eastAsia="楷体_GB2312" w:cs="Times New Roman"/>
          <w:b/>
          <w:bCs/>
          <w:sz w:val="32"/>
          <w:szCs w:val="32"/>
        </w:rPr>
        <w:t xml:space="preserve"> </w:t>
      </w:r>
    </w:p>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6"/>
        </w:rPr>
        <w:t>1.开展产业技术协同创新。</w:t>
      </w:r>
      <w:r>
        <w:rPr>
          <w:rFonts w:ascii="Times New Roman" w:hAnsi="Times New Roman" w:eastAsia="仿宋_GB2312" w:cs="Times New Roman"/>
          <w:sz w:val="32"/>
          <w:szCs w:val="36"/>
        </w:rPr>
        <w:t>在智能装备、数控机床、工业机器人、光伏电池等产业领域摸排一批企业面临的关键共性问题，征集形成行业技术“攻关清单”，面向全球产业链企业、科研院校实施联合攻关。开展数字融合技术创新，在伺服电机、控制器、智能制造系统等领域突破一批关键技术和共性技术，形成一批自主新产品。在工业机器人、数控机床等领域创建一批制造业创新中心，开展产业关键和共性技术研究。深化产学研合作，支持我市企业与浙江大学、西安交通大学等高校和科研院所合作，加快推进科技创新成果产业化。</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color w:val="000000" w:themeColor="text1"/>
                <w:sz w:val="22"/>
                <w14:textFill>
                  <w14:solidFill>
                    <w14:schemeClr w14:val="tx1"/>
                  </w14:solidFill>
                </w14:textFill>
              </w:rPr>
            </w:pPr>
            <w:r>
              <w:rPr>
                <w:rFonts w:ascii="Times New Roman" w:hAnsi="Times New Roman" w:eastAsia="宋体" w:cs="Times New Roman"/>
                <w:b/>
                <w:color w:val="000000" w:themeColor="text1"/>
                <w:sz w:val="22"/>
                <w14:textFill>
                  <w14:solidFill>
                    <w14:schemeClr w14:val="tx1"/>
                  </w14:solidFill>
                </w14:textFill>
              </w:rPr>
              <w:t>专栏七 数字产业重点领域技术创新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（1）工业机器人。大力发展SCARA型、并联型等机器人本体制造，积极发展包括高精密减速器、高性能传感器、高性能控制器和高档伺服电机等工业机器人关键零部件。</w:t>
            </w:r>
            <w:r>
              <w:rPr>
                <w:rFonts w:ascii="Times New Roman" w:hAnsi="Times New Roman" w:eastAsia="宋体" w:cs="Times New Roman"/>
                <w:sz w:val="22"/>
                <w:szCs w:val="24"/>
              </w:rPr>
              <w:t>（责任单位：市科技局）</w:t>
            </w:r>
          </w:p>
          <w:p>
            <w:pPr>
              <w:spacing w:line="360" w:lineRule="auto"/>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2）光伏电池及组件。重点在光电转换效率和组件封装技术和薄膜晶硅、非晶硅薄膜、PECVD氮化硅镀膜等光伏电池材料、加工工艺等技术领域开展攻关突破，引进丝印机、多线切割机等电池及组件生产设备技术及产品二次开发。</w:t>
            </w:r>
            <w:r>
              <w:rPr>
                <w:rFonts w:ascii="Times New Roman" w:hAnsi="Times New Roman" w:eastAsia="宋体" w:cs="Times New Roman"/>
                <w:sz w:val="22"/>
                <w:szCs w:val="24"/>
              </w:rPr>
              <w:t>（责任单位：市科技局）</w:t>
            </w:r>
          </w:p>
          <w:p>
            <w:pPr>
              <w:spacing w:line="360" w:lineRule="auto"/>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（3）数控机床。开发基于5G、物联网技术的智能化机床，发展高精度、高稳定性、高靠性和智能化机床装备产品。开展信息处理加工、传输技术、自动控制技术、伺服驱动技术、传感器技术等的研发。</w:t>
            </w:r>
            <w:r>
              <w:rPr>
                <w:rFonts w:ascii="Times New Roman" w:hAnsi="Times New Roman" w:eastAsia="宋体" w:cs="Times New Roman"/>
                <w:sz w:val="22"/>
                <w:szCs w:val="24"/>
              </w:rPr>
              <w:t>（责任单位：市科技局）</w:t>
            </w:r>
          </w:p>
          <w:p>
            <w:pPr>
              <w:spacing w:line="360" w:lineRule="auto"/>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（4）智能流体控制。聚焦水暖阀门产品智能化，重点开展复杂环境下的阀门流量感知、精准控制等物联网集成技术，研发温控阀门、自控阀门等智能化产品。</w:t>
            </w:r>
            <w:r>
              <w:rPr>
                <w:rFonts w:ascii="Times New Roman" w:hAnsi="Times New Roman" w:eastAsia="宋体" w:cs="Times New Roman"/>
                <w:sz w:val="22"/>
                <w:szCs w:val="24"/>
              </w:rPr>
              <w:t>（责任单位：市科技局）</w:t>
            </w:r>
          </w:p>
        </w:tc>
      </w:tr>
    </w:tbl>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6"/>
        </w:rPr>
        <w:t>2.着力建设高能级创新平台。</w:t>
      </w:r>
      <w:r>
        <w:rPr>
          <w:rFonts w:ascii="Times New Roman" w:hAnsi="Times New Roman" w:eastAsia="仿宋_GB2312" w:cs="Times New Roman"/>
          <w:sz w:val="32"/>
          <w:szCs w:val="36"/>
        </w:rPr>
        <w:t>推动汽车零部件先进制造中心、数控与智能制造技术创新中心、水暖阀门产业创新服务综合体、汽车零部件产业创新服务综合体等创新平台建设和功能完善提升，聚集一批高端数字化人才、创新资本等要素。加强企业研发机构培育和建设，鼓励数字经济骨干企业建设细分方向的企业重点实验室、工程技术研究中心、省级（重点）企业研究院等。支持建设测试验证、认证、知识产权等公共技术服务平台，深化中国汽车工程研究院浙江分公司、浙大汽摩配研究所、高校（院所）玉环联合研究院等建设，增强公共服务供给。</w:t>
      </w:r>
    </w:p>
    <w:p>
      <w:pPr>
        <w:spacing w:line="360" w:lineRule="auto"/>
        <w:ind w:firstLine="643" w:firstLineChars="200"/>
        <w:rPr>
          <w:rFonts w:ascii="Times New Roman" w:hAnsi="Times New Roman" w:eastAsia="仿宋_GB2312" w:cs="Times New Roman"/>
          <w:color w:val="FF0000"/>
          <w:sz w:val="32"/>
          <w:szCs w:val="36"/>
        </w:rPr>
      </w:pPr>
      <w:r>
        <w:rPr>
          <w:rFonts w:ascii="Times New Roman" w:hAnsi="Times New Roman" w:eastAsia="仿宋_GB2312" w:cs="Times New Roman"/>
          <w:b/>
          <w:bCs/>
          <w:sz w:val="32"/>
          <w:szCs w:val="36"/>
        </w:rPr>
        <w:t>3.开发数字产品智能装备。</w:t>
      </w:r>
      <w:r>
        <w:rPr>
          <w:rFonts w:ascii="Times New Roman" w:hAnsi="Times New Roman" w:eastAsia="仿宋_GB2312" w:cs="Times New Roman"/>
          <w:sz w:val="32"/>
          <w:szCs w:val="36"/>
        </w:rPr>
        <w:t>推进信息技术与装备技术、产品工艺集成创新，支持企业利用5G、人工智能、边缘计算、云计算等新技术推动产品智能化升级，重点培育高端数控机床、智能缝制设备、智能家居、智能电气、智能医疗器械、智能汽车及关键零部件等新产品。在成套数控装备、嵌入式功率半导体、高磨损环境下的智能感知硬件、在线无损检测系统装备等领域开展技术集成攻关，重点开发智能感知硬件、智能终端等数字化产品。</w:t>
      </w:r>
    </w:p>
    <w:p>
      <w:pPr>
        <w:spacing w:line="360" w:lineRule="auto"/>
        <w:ind w:firstLine="643" w:firstLineChars="200"/>
        <w:rPr>
          <w:rFonts w:ascii="Times New Roman" w:hAnsi="Times New Roman" w:eastAsia="黑体" w:cs="Times New Roman"/>
          <w:sz w:val="32"/>
          <w:szCs w:val="32"/>
        </w:rPr>
      </w:pPr>
      <w:r>
        <w:rPr>
          <w:rFonts w:ascii="Times New Roman" w:hAnsi="Times New Roman" w:eastAsia="仿宋_GB2312" w:cs="Times New Roman"/>
          <w:b/>
          <w:bCs/>
          <w:sz w:val="32"/>
          <w:szCs w:val="36"/>
        </w:rPr>
        <w:t>4.着力培育数字科创主体。</w:t>
      </w:r>
      <w:r>
        <w:rPr>
          <w:rFonts w:ascii="Times New Roman" w:hAnsi="Times New Roman" w:eastAsia="仿宋_GB2312" w:cs="Times New Roman"/>
          <w:sz w:val="32"/>
          <w:szCs w:val="36"/>
        </w:rPr>
        <w:t>深入实施高新技术企业“育苗造林”行动和科技型企业“双倍增”计划，强化高新企业梯度建设。做大做强一批科技型企业，重点引导一批中小微企业改造提升后成长为省级科技型中小企业、省级高成长科技型中小企业及国家重点扶持的高新技术企业。加强企业研究开发中心培育和建设，提升产业数字化创新能力。</w:t>
      </w:r>
    </w:p>
    <w:p>
      <w:pPr>
        <w:spacing w:line="360" w:lineRule="auto"/>
        <w:ind w:firstLine="643" w:firstLineChars="200"/>
        <w:outlineLvl w:val="1"/>
        <w:rPr>
          <w:rFonts w:ascii="Times New Roman" w:hAnsi="Times New Roman" w:eastAsia="楷体_GB2312" w:cs="Times New Roman"/>
          <w:b/>
          <w:bCs/>
          <w:sz w:val="32"/>
          <w:szCs w:val="32"/>
        </w:rPr>
      </w:pPr>
      <w:bookmarkStart w:id="82" w:name="_Toc80366807"/>
      <w:r>
        <w:rPr>
          <w:rFonts w:ascii="Times New Roman" w:hAnsi="Times New Roman" w:eastAsia="楷体_GB2312" w:cs="Times New Roman"/>
          <w:b/>
          <w:bCs/>
          <w:sz w:val="32"/>
          <w:szCs w:val="32"/>
        </w:rPr>
        <w:t>（四）织就数字精智“一张网”，构筑数字治理体系</w:t>
      </w:r>
      <w:bookmarkEnd w:id="82"/>
      <w:r>
        <w:rPr>
          <w:rFonts w:ascii="Times New Roman" w:hAnsi="Times New Roman" w:eastAsia="楷体_GB2312" w:cs="Times New Roman"/>
          <w:b/>
          <w:bCs/>
          <w:sz w:val="32"/>
          <w:szCs w:val="32"/>
        </w:rPr>
        <w:t xml:space="preserve"> </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1.推进全域数字化改革。</w:t>
      </w:r>
      <w:r>
        <w:rPr>
          <w:rFonts w:ascii="Times New Roman" w:hAnsi="Times New Roman" w:eastAsia="仿宋_GB2312" w:cs="Times New Roman"/>
          <w:sz w:val="32"/>
          <w:szCs w:val="32"/>
        </w:rPr>
        <w:t>根据省市数字化改革要求和“1+5+2”建设规范，扎实推进玉环数字化改革总体架构设计，持续完善数字玉环“0576”架构体系。深度对接省一体化智能化公共数据平台，建设党政机关整体智治系统、数字政府系统、数字经济系统、数字社会系统、数字法治系统五大综合应用。以全域数字化改革为载体，探索复合地方实际和特色的数字化改革理论体系和制度体系，打造全省数字化改革标兵</w:t>
      </w:r>
      <w:r>
        <w:rPr>
          <w:rFonts w:hint="eastAsia" w:ascii="Times New Roman" w:hAnsi="Times New Roman" w:eastAsia="仿宋_GB2312" w:cs="Times New Roman"/>
          <w:sz w:val="32"/>
          <w:szCs w:val="32"/>
        </w:rPr>
        <w:t>，进一步优化数字经济发展环境</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2.深化推进数据资源开放共享。</w:t>
      </w:r>
      <w:r>
        <w:rPr>
          <w:rFonts w:ascii="Times New Roman" w:hAnsi="Times New Roman" w:eastAsia="仿宋_GB2312" w:cs="Times New Roman"/>
          <w:sz w:val="32"/>
          <w:szCs w:val="32"/>
        </w:rPr>
        <w:t>以数字化改革为契机，研究探索地方数据资源确权、流通和利用规则，推动数据实时采集、传输、加工，形成数据资源玉环数据要素市场和地方性标准。在智慧城市领域开放一批数据资源，引进和培育一批市场化数据应用服务主体，鼓励企业基于公开数据开展业务，挖掘数字资产价值。推动工业大数据发展，支持汽摩配、水暖阀门等优势产业领域加强数据汇聚，鼓励上下游企业开放数据，加强合作，共建安全可信的工业数据空间，建立互利共赢的共享开放机制。</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3.深化推进“城市大脑”应用。</w:t>
      </w:r>
      <w:r>
        <w:rPr>
          <w:rFonts w:ascii="Times New Roman" w:hAnsi="Times New Roman" w:eastAsia="仿宋_GB2312" w:cs="Times New Roman"/>
          <w:sz w:val="32"/>
          <w:szCs w:val="32"/>
        </w:rPr>
        <w:t xml:space="preserve">加快以城市大脑为核心的数字玉环建设，建立以城市大脑为核心的数字孪生城市、以社区大脑为核心的数字孪生社区。聚焦政务服务、公共服务和社会织里，建设一批面向特色场景的数字驾驶舱，加快建设一批多业务协同应用，打造县域新型智慧城市玉环样板。建设未来社区智慧服务平台和智能投递、智慧养老、智能停车等生活服务类设施，推进东风社区省级未来社区试点项目建设，打造浙江基层治理现代化典范和智慧化复合新社区标杆。推进“交通治理能力现代化”试点、“云上玉环”智慧消防、智慧水网、智慧物流平台、全域智慧防控等项目建设。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hint="eastAsia" w:ascii="Times New Roman" w:hAnsi="Times New Roman" w:eastAsia="宋体" w:cs="Times New Roman"/>
                <w:sz w:val="22"/>
                <w:szCs w:val="24"/>
              </w:rPr>
            </w:pPr>
            <w:r>
              <w:rPr>
                <w:rFonts w:ascii="Times New Roman" w:hAnsi="Times New Roman" w:eastAsia="宋体" w:cs="Times New Roman"/>
                <w:b/>
                <w:bCs/>
                <w:sz w:val="22"/>
                <w:szCs w:val="24"/>
              </w:rPr>
              <w:t>专栏八 城市大脑赋能</w:t>
            </w:r>
            <w:r>
              <w:rPr>
                <w:rFonts w:hint="eastAsia" w:ascii="Times New Roman" w:hAnsi="Times New Roman" w:eastAsia="宋体" w:cs="Times New Roman"/>
                <w:b/>
                <w:bCs/>
                <w:sz w:val="22"/>
                <w:szCs w:val="24"/>
              </w:rPr>
              <w:t>城市发展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1）“交通治理能力现代化创建”试点。整合现有交通运输系统信息化资源，创建智慧化管理决策机制，以建立交通运行监测平台、交通应急指挥平台、交通辅助决策平台、交通执法管理平台、交通舆情监测平台、交通行业监管平台为基础，建设一个“对下整合、对上融合、对外联合”的综合交通信息指挥中心，全面打造我市交通治理工作信息化、智慧化、现代化的新格局。（责任单位：市交通运输局）</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2）智慧水网建设。构建基于“一张智能感知网、一朵基础设施云、一个水利数据仓、一张水利专题图、一个智慧水利综合管理平台（水管理平台）、一套智慧运维保障体系、一套应用支撑体系、N大数字化业务应用系统”的“7+N”智慧水利（水管理平台）新体系。（责任单位：市水利局）</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（3）智慧物流配送信息平台。积极推进 “两进一出”工程，探索适应快递物流高质量发展路径，打造快递物流服务“进厂”、“进村”、“出海”的新高地；加快快递专业类物流园区及集散中心建设；加快快递末端网点标准化建设，完善智能快件建设布局，实现“123物流送达圈”（省内主要城市1天送达，国内主要城市2天送达，全球主要城市3天送）。（责任单位：市交通局）</w:t>
            </w:r>
          </w:p>
          <w:p>
            <w:pPr>
              <w:spacing w:line="360" w:lineRule="auto"/>
              <w:ind w:firstLine="440" w:firstLineChars="200"/>
              <w:rPr>
                <w:rFonts w:ascii="Times New Roman" w:hAnsi="Times New Roman" w:eastAsia="宋体" w:cs="Times New Roman"/>
                <w:sz w:val="22"/>
                <w:szCs w:val="24"/>
              </w:rPr>
            </w:pPr>
            <w:r>
              <w:rPr>
                <w:rFonts w:ascii="Times New Roman" w:hAnsi="Times New Roman" w:eastAsia="宋体" w:cs="Times New Roman"/>
                <w:sz w:val="22"/>
                <w:szCs w:val="24"/>
              </w:rPr>
              <w:t>（4）数字赋能城市应用场景。启动推进数字教育、数字医疗、数字养老、数字就业、数字文体、数字旅游等城市建设和管理场景，建成一批新型智慧城市示范工程。（责任单位：市自然资源局、市大数据局）</w:t>
            </w:r>
          </w:p>
          <w:p>
            <w:pPr>
              <w:spacing w:line="360" w:lineRule="auto"/>
              <w:ind w:firstLine="440" w:firstLineChars="200"/>
              <w:rPr>
                <w:rFonts w:ascii="Times New Roman" w:hAnsi="Times New Roman" w:eastAsia="仿宋_GB2312" w:cs="Times New Roman"/>
                <w:kern w:val="0"/>
                <w:sz w:val="22"/>
                <w:szCs w:val="24"/>
              </w:rPr>
            </w:pPr>
            <w:bookmarkStart w:id="83" w:name="_Hlk62226521"/>
            <w:r>
              <w:rPr>
                <w:rFonts w:ascii="Times New Roman" w:hAnsi="Times New Roman" w:eastAsia="宋体" w:cs="Times New Roman"/>
                <w:sz w:val="22"/>
                <w:szCs w:val="24"/>
              </w:rPr>
              <w:t>（5）全域智慧防控体系</w:t>
            </w:r>
            <w:bookmarkEnd w:id="83"/>
            <w:r>
              <w:rPr>
                <w:rFonts w:ascii="Times New Roman" w:hAnsi="Times New Roman" w:eastAsia="宋体" w:cs="Times New Roman"/>
                <w:sz w:val="22"/>
                <w:szCs w:val="24"/>
              </w:rPr>
              <w:t>建设。以“智能感知、精准防控”为社会公共安全管理的新理念，统筹建设和完善社会面核心域、重点域、公共域、居住域、交通域、互联网域感知网络，构建层层封闭、高低搭配的多维感知体系。推动数据融合、业务融合，打造覆盖全域、统筹利用的数据资源平台，深化应用，全面提升玉环社会治安防控信息化、智能化水平，提升政府部门对社会公共安全风险的感知能力，提升防范化解重大风险能力水平，丰富社会管理手段，为政府决策提供“在线”大数据支持，倾力打造现代城市公共安全发展新样板，不断增强人民群众获得感、幸福感和安全感。（责任单位：市政法委）</w:t>
            </w:r>
          </w:p>
        </w:tc>
      </w:tr>
    </w:tbl>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4.深化数字化现代政府建设。</w:t>
      </w:r>
      <w:r>
        <w:rPr>
          <w:rFonts w:ascii="Times New Roman" w:hAnsi="Times New Roman" w:eastAsia="仿宋_GB2312" w:cs="Times New Roman"/>
          <w:sz w:val="32"/>
          <w:szCs w:val="32"/>
        </w:rPr>
        <w:t>加快政务服务</w:t>
      </w:r>
      <w:r>
        <w:rPr>
          <w:rFonts w:hint="eastAsia" w:ascii="Times New Roman" w:hAnsi="Times New Roman" w:eastAsia="仿宋_GB2312" w:cs="Times New Roman"/>
          <w:sz w:val="32"/>
          <w:szCs w:val="32"/>
        </w:rPr>
        <w:t>数字化</w:t>
      </w:r>
      <w:r>
        <w:rPr>
          <w:rFonts w:ascii="Times New Roman" w:hAnsi="Times New Roman" w:eastAsia="仿宋_GB2312" w:cs="Times New Roman"/>
          <w:sz w:val="32"/>
          <w:szCs w:val="32"/>
        </w:rPr>
        <w:t>建设，围绕“互联网+放管服”“互联网+监管”改革应用，全面推进机关内部“一件事”联办，谋划一批跨业务综合集成创新的标志性项目。推广应用玉环市“乐产码”企业综合服务平台，依托省企业服务综合平台，强化政策直达、资金申报、公共服务、产业链合作和政银企联动等应用，全面实现企业事项“掌上办”“码上办”，打造“妈妈式服务”升级版。</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F1F1F1" w:themeFill="background1" w:themeFillShade="F2"/>
          </w:tcPr>
          <w:p>
            <w:pPr>
              <w:spacing w:line="360" w:lineRule="auto"/>
              <w:jc w:val="center"/>
              <w:rPr>
                <w:rFonts w:ascii="Times New Roman" w:hAnsi="Times New Roman" w:eastAsia="宋体" w:cs="Times New Roman"/>
                <w:sz w:val="24"/>
                <w:szCs w:val="28"/>
              </w:rPr>
            </w:pPr>
            <w:r>
              <w:rPr>
                <w:rFonts w:ascii="Times New Roman" w:hAnsi="Times New Roman" w:eastAsia="宋体" w:cs="Times New Roman"/>
                <w:b/>
                <w:bCs/>
                <w:sz w:val="24"/>
                <w:szCs w:val="28"/>
              </w:rPr>
              <w:t>专栏九 数字政府集成改革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（1）政务服务数字化集成改革。 深化政务服务</w:t>
            </w:r>
            <w:r>
              <w:rPr>
                <w:rFonts w:hint="eastAsia" w:ascii="Times New Roman" w:hAnsi="Times New Roman" w:eastAsia="宋体" w:cs="Times New Roman"/>
                <w:sz w:val="24"/>
                <w:szCs w:val="28"/>
              </w:rPr>
              <w:t>数字化</w:t>
            </w:r>
            <w:r>
              <w:rPr>
                <w:rFonts w:ascii="Times New Roman" w:hAnsi="Times New Roman" w:eastAsia="宋体" w:cs="Times New Roman"/>
                <w:sz w:val="24"/>
                <w:szCs w:val="28"/>
              </w:rPr>
              <w:t>改革，持续宣传推广浙江政务服务网、“浙里办”APP，扩大政务服务数字化受众覆盖面，丰富“浙里办”数字应用建设，推动更多重点领域民生、涉企事项“主动办”、“集成办”、“创新办”，加快“一件事”联办步伐，实现一站可办、一键直达、一次不跑、一网通办和跨省通办。（责任单位：市大数据局）</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2）深化“一件事”集成改革。聚焦民生关切、涉企服务、机关效能、信用体系、执法监管、人才创业创新等重点领域，围绕场景化多业务协同应用、数字化跨部门系统集成，统筹推动群众企业全生命周期“一件事”改革。迭代升级机关内部协同办公平台，不断丰富机关内跑应用场景，推动机关内部“一件事”改革向各方面各领域拓展延伸。（责任单位：市委改革办）</w:t>
            </w:r>
          </w:p>
          <w:p>
            <w:pPr>
              <w:spacing w:line="360" w:lineRule="auto"/>
              <w:ind w:firstLine="480" w:firstLineChars="200"/>
              <w:rPr>
                <w:rFonts w:ascii="Times New Roman" w:hAnsi="Times New Roman" w:eastAsia="仿宋_GB2312" w:cs="Times New Roman"/>
                <w:kern w:val="0"/>
                <w:sz w:val="24"/>
                <w:szCs w:val="28"/>
              </w:rPr>
            </w:pPr>
            <w:r>
              <w:rPr>
                <w:rFonts w:ascii="Times New Roman" w:hAnsi="Times New Roman" w:eastAsia="宋体" w:cs="Times New Roman"/>
                <w:sz w:val="24"/>
                <w:szCs w:val="28"/>
              </w:rPr>
              <w:t>（3）医疗卫生服务领域“最多跑一次”改革。持续推进“看病少排队”、“付费更便捷”、“检查少跑腿”、“住院更省心”等20项举措，新增“基层看病更方便”、“疫苗接种更透明”、“就医停车更智慧”等若干项就医体验大提升项目。（责任单位：市卫</w:t>
            </w:r>
            <w:r>
              <w:rPr>
                <w:rFonts w:hint="eastAsia" w:ascii="Times New Roman" w:hAnsi="Times New Roman" w:eastAsia="宋体" w:cs="Times New Roman"/>
                <w:sz w:val="24"/>
                <w:szCs w:val="28"/>
                <w:lang w:val="en-US" w:eastAsia="zh-CN"/>
              </w:rPr>
              <w:t>健</w:t>
            </w:r>
            <w:bookmarkStart w:id="122" w:name="_GoBack"/>
            <w:bookmarkEnd w:id="122"/>
            <w:r>
              <w:rPr>
                <w:rFonts w:ascii="Times New Roman" w:hAnsi="Times New Roman" w:eastAsia="宋体" w:cs="Times New Roman"/>
                <w:sz w:val="24"/>
                <w:szCs w:val="28"/>
              </w:rPr>
              <w:t xml:space="preserve">局） </w:t>
            </w:r>
          </w:p>
        </w:tc>
      </w:tr>
    </w:tbl>
    <w:p>
      <w:pPr>
        <w:spacing w:line="360" w:lineRule="auto"/>
        <w:ind w:firstLine="643" w:firstLineChars="200"/>
        <w:outlineLvl w:val="1"/>
        <w:rPr>
          <w:rFonts w:ascii="Times New Roman" w:hAnsi="Times New Roman" w:eastAsia="楷体_GB2312" w:cs="Times New Roman"/>
          <w:b/>
          <w:bCs/>
          <w:sz w:val="32"/>
          <w:szCs w:val="32"/>
        </w:rPr>
      </w:pPr>
      <w:bookmarkStart w:id="84" w:name="_Toc80366808"/>
      <w:r>
        <w:rPr>
          <w:rFonts w:ascii="Times New Roman" w:hAnsi="Times New Roman" w:eastAsia="楷体_GB2312" w:cs="Times New Roman"/>
          <w:b/>
          <w:bCs/>
          <w:sz w:val="32"/>
          <w:szCs w:val="32"/>
        </w:rPr>
        <w:t>（五）拧紧开放链接“一股绳”，构建协同发展体系</w:t>
      </w:r>
      <w:bookmarkEnd w:id="84"/>
    </w:p>
    <w:p>
      <w:pPr>
        <w:spacing w:line="360" w:lineRule="auto"/>
        <w:ind w:firstLine="643" w:firstLineChars="200"/>
        <w:rPr>
          <w:rFonts w:ascii="Times New Roman" w:hAnsi="Times New Roman" w:eastAsia="仿宋_GB2312" w:cs="Times New Roman"/>
          <w:b/>
          <w:bCs/>
          <w:sz w:val="32"/>
          <w:szCs w:val="36"/>
        </w:rPr>
      </w:pPr>
      <w:r>
        <w:rPr>
          <w:rFonts w:ascii="Times New Roman" w:hAnsi="Times New Roman" w:eastAsia="仿宋_GB2312" w:cs="Times New Roman"/>
          <w:b/>
          <w:bCs/>
          <w:sz w:val="32"/>
          <w:szCs w:val="36"/>
        </w:rPr>
        <w:t>1.构建开放融合的网络</w:t>
      </w:r>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紧抓“一带一路”发展重大战略机遇，加强与“一带一路”沿线地区合作，强化数字港口建设，推动大麦屿港与宁波舟山港、上海港、厦门港等港口的便利化，更高层次上开展国际港航业务。利用玉环对台直航和浙江省首批对台小额贸易示范试点基地的优越性，积极申报海峡两岸（玉环）经贸合作区，建设海峡两岸</w:t>
      </w:r>
      <w:r>
        <w:rPr>
          <w:rFonts w:hint="eastAsia" w:ascii="Times New Roman" w:hAnsi="Times New Roman" w:eastAsia="仿宋_GB2312" w:cs="Times New Roman"/>
          <w:sz w:val="32"/>
          <w:szCs w:val="36"/>
        </w:rPr>
        <w:t>机床和高端装备</w:t>
      </w:r>
      <w:r>
        <w:rPr>
          <w:rFonts w:ascii="Times New Roman" w:hAnsi="Times New Roman" w:eastAsia="仿宋_GB2312" w:cs="Times New Roman"/>
          <w:sz w:val="32"/>
          <w:szCs w:val="36"/>
        </w:rPr>
        <w:t>等重点合作平台，推动在数字经济核心产业领域和数字商贸、现代物流、文化创意、数字健康等方面形成特色创新成果。深化推进全球精准合作，积极建设一批国际科技合作基地、海外创新孵化中心、企业海外研发机构等科技合作载体，提升建设玉环跨境电商产业园，通过“玉环市出口网交会”等品牌活动，搭建精准链接全球产业链资源的线上线下服务平台。</w:t>
      </w:r>
    </w:p>
    <w:p>
      <w:pPr>
        <w:spacing w:line="360" w:lineRule="auto"/>
        <w:ind w:firstLine="643" w:firstLineChars="200"/>
        <w:rPr>
          <w:rFonts w:ascii="Times New Roman" w:hAnsi="Times New Roman" w:eastAsia="仿宋_GB2312" w:cs="Times New Roman"/>
          <w:b/>
          <w:bCs/>
          <w:sz w:val="32"/>
          <w:szCs w:val="36"/>
        </w:rPr>
      </w:pPr>
      <w:r>
        <w:rPr>
          <w:rFonts w:ascii="Times New Roman" w:hAnsi="Times New Roman" w:eastAsia="仿宋_GB2312" w:cs="Times New Roman"/>
          <w:b/>
          <w:bCs/>
          <w:sz w:val="32"/>
          <w:szCs w:val="36"/>
        </w:rPr>
        <w:t>2.深度接轨数字长三角</w:t>
      </w:r>
    </w:p>
    <w:p>
      <w:pPr>
        <w:spacing w:line="360" w:lineRule="auto"/>
        <w:ind w:firstLine="640" w:firstLineChars="200"/>
        <w:rPr>
          <w:rFonts w:ascii="Times New Roman" w:hAnsi="Times New Roman" w:eastAsia="仿宋_GB2312" w:cs="Times New Roman"/>
          <w:b/>
          <w:bCs/>
          <w:color w:val="FF0000"/>
          <w:sz w:val="32"/>
          <w:szCs w:val="36"/>
        </w:rPr>
      </w:pPr>
      <w:r>
        <w:rPr>
          <w:rFonts w:ascii="Times New Roman" w:hAnsi="Times New Roman" w:eastAsia="仿宋_GB2312" w:cs="Times New Roman"/>
          <w:sz w:val="32"/>
          <w:szCs w:val="36"/>
        </w:rPr>
        <w:t>全方位构建融入长三角区域一体化发展“8532”</w:t>
      </w:r>
      <w:r>
        <w:rPr>
          <w:rStyle w:val="23"/>
          <w:rFonts w:ascii="Times New Roman" w:hAnsi="Times New Roman" w:eastAsia="仿宋_GB2312" w:cs="Times New Roman"/>
          <w:sz w:val="32"/>
          <w:szCs w:val="36"/>
        </w:rPr>
        <w:footnoteReference w:id="0"/>
      </w:r>
      <w:r>
        <w:rPr>
          <w:rFonts w:ascii="Times New Roman" w:hAnsi="Times New Roman" w:eastAsia="仿宋_GB2312" w:cs="Times New Roman"/>
          <w:sz w:val="32"/>
          <w:szCs w:val="36"/>
        </w:rPr>
        <w:t>体系，围绕产业平台、科技创新、公共服务、交流合作等领域开展数字经济精准对接，成为长三角区域浙东南地区重要发展极。强化长三角要素共建共享，积极融入长三角科技资源共享平台、长三角技术交易市场联盟、长三角人才一体化发展城市联盟等平台，推进与长三角区域数字经济领域高层次人才互认、创新基础设施共建共享，对高端、紧缺人才和创新基础设施，实现企业、高校间共享共用。</w:t>
      </w:r>
    </w:p>
    <w:p>
      <w:pPr>
        <w:spacing w:line="360" w:lineRule="auto"/>
        <w:ind w:firstLine="643" w:firstLineChars="200"/>
        <w:rPr>
          <w:rFonts w:ascii="Times New Roman" w:hAnsi="Times New Roman" w:eastAsia="仿宋_GB2312" w:cs="Times New Roman"/>
          <w:b/>
          <w:bCs/>
          <w:sz w:val="32"/>
          <w:szCs w:val="36"/>
        </w:rPr>
      </w:pPr>
      <w:r>
        <w:rPr>
          <w:rFonts w:ascii="Times New Roman" w:hAnsi="Times New Roman" w:eastAsia="仿宋_GB2312" w:cs="Times New Roman"/>
          <w:b/>
          <w:bCs/>
          <w:sz w:val="32"/>
          <w:szCs w:val="36"/>
        </w:rPr>
        <w:t>3.参与共建台州数字湾区</w:t>
      </w:r>
    </w:p>
    <w:p>
      <w:pPr>
        <w:spacing w:line="360" w:lineRule="auto"/>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强化与乐清、温岭、洞头等乐清湾区域城市的交流合作，协同建立湾区开发建设机制和投资促进机制。支持企业开展数字经济领域技术、生产、投资合作，联合建设数字基础设施，构建区域内高效快捷的数字经济互联互通体系和产业发展体系。全面融入台州湾区建设，参与推进台州市南部湾区、台州湾、北部湾区协同发展机制，立足台州南部湾区要素资源禀赋，加快大麦屿港区与台州港其他港区的资源整合，积极参与建设数字自贸区，联动提升台州数字湾区经济战略地位。</w:t>
      </w:r>
    </w:p>
    <w:p>
      <w:pPr>
        <w:spacing w:line="360" w:lineRule="auto"/>
        <w:ind w:firstLine="643" w:firstLineChars="200"/>
        <w:outlineLvl w:val="1"/>
        <w:rPr>
          <w:rFonts w:ascii="Times New Roman" w:hAnsi="Times New Roman" w:eastAsia="楷体_GB2312" w:cs="Times New Roman"/>
          <w:b/>
          <w:bCs/>
          <w:sz w:val="32"/>
          <w:szCs w:val="32"/>
        </w:rPr>
      </w:pPr>
      <w:bookmarkStart w:id="85" w:name="_Toc80366809"/>
      <w:r>
        <w:rPr>
          <w:rFonts w:ascii="Times New Roman" w:hAnsi="Times New Roman" w:eastAsia="楷体_GB2312" w:cs="Times New Roman"/>
          <w:b/>
          <w:bCs/>
          <w:sz w:val="32"/>
          <w:szCs w:val="32"/>
        </w:rPr>
        <w:t>（六）对表数字基建“一览表”，构筑数字基座体系</w:t>
      </w:r>
      <w:bookmarkEnd w:id="85"/>
    </w:p>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2"/>
        </w:rPr>
        <w:t>1.加快5G部署和网络升级。</w:t>
      </w:r>
      <w:r>
        <w:rPr>
          <w:rFonts w:ascii="Times New Roman" w:hAnsi="Times New Roman" w:eastAsia="仿宋_GB2312" w:cs="Times New Roman"/>
          <w:sz w:val="32"/>
          <w:szCs w:val="36"/>
        </w:rPr>
        <w:t>落实5G基站建设“一件事”集成改革，推进5G基站建设和“智慧杆塔”5G微站试点，逐步实现重点区域和典型场景、全域5G网络接续覆盖。推进4G网络优化升级，实现全域高品质网络覆盖。推进光纤传输网络和城域骨干网升级，在城区和重点乡镇进行10G-PON 光线路终端（OLT）设备规模部署，打造千兆城市。建设覆盖全市的OTN传输网络，基本实现全市业务统一承载，建设全市政务应用、视频专网、空间地理信息专网等行业专用通讯网络。加快政务外网升级改造，实现市、街道/乡镇、村/社区“三级”全覆盖。</w:t>
      </w:r>
    </w:p>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2"/>
        </w:rPr>
        <w:t>2.部署先进数据中心。</w:t>
      </w:r>
      <w:r>
        <w:rPr>
          <w:rFonts w:ascii="Times New Roman" w:hAnsi="Times New Roman" w:eastAsia="仿宋_GB2312" w:cs="Times New Roman"/>
          <w:sz w:val="32"/>
          <w:szCs w:val="36"/>
        </w:rPr>
        <w:t>建设智慧城市云数据中心，利用邻海的环境优势，争取部署一批绿色节能、高效计算的区域型云数据中心。建设城市级应用边缘计算节点和微型数据中心，建立安全、可靠、高效的云边端一体化计算资源池，满足行业数字化在业务实时、业务智能、数据聚合与互操作的边缘智能服务。</w:t>
      </w:r>
    </w:p>
    <w:p>
      <w:pPr>
        <w:spacing w:line="360" w:lineRule="auto"/>
        <w:ind w:firstLine="643" w:firstLineChars="200"/>
        <w:rPr>
          <w:rFonts w:ascii="Times New Roman" w:hAnsi="Times New Roman" w:eastAsia="仿宋_GB2312" w:cs="Times New Roman"/>
          <w:sz w:val="32"/>
          <w:szCs w:val="36"/>
        </w:rPr>
      </w:pPr>
      <w:r>
        <w:rPr>
          <w:rFonts w:ascii="Times New Roman" w:hAnsi="Times New Roman" w:eastAsia="仿宋_GB2312" w:cs="Times New Roman"/>
          <w:b/>
          <w:bCs/>
          <w:sz w:val="32"/>
          <w:szCs w:val="32"/>
        </w:rPr>
        <w:t>3.建设数字融合基础设施。</w:t>
      </w:r>
      <w:r>
        <w:rPr>
          <w:rFonts w:ascii="Times New Roman" w:hAnsi="Times New Roman" w:eastAsia="仿宋_GB2312" w:cs="Times New Roman"/>
          <w:sz w:val="32"/>
          <w:szCs w:val="36"/>
        </w:rPr>
        <w:t>加强全市4G/5G NB-IoT移动物联网覆盖建设和技术协同创新，建设统一物联感知平台，促进全市物联网设备统筹管理和智能感知设施协同共用。加快市政、公建、能源等基础设施物联网化改造，构建城市基础设施物联网。全面构建通信和计算相结合的车联网体系架构，实施智能路网试点改造，部署新能源充电桩物联网络，推广车路交互信息服务的规模应用，打造智能网联汽车应用示范。</w:t>
      </w:r>
    </w:p>
    <w:p>
      <w:pPr>
        <w:spacing w:line="360" w:lineRule="auto"/>
        <w:ind w:firstLine="643" w:firstLineChars="200"/>
        <w:rPr>
          <w:rFonts w:hint="eastAsia" w:ascii="Times New Roman" w:hAnsi="Times New Roman" w:eastAsia="仿宋_GB2312" w:cs="Times New Roman"/>
          <w:sz w:val="32"/>
          <w:szCs w:val="36"/>
        </w:rPr>
      </w:pPr>
      <w:r>
        <w:rPr>
          <w:rFonts w:hint="eastAsia" w:ascii="Times New Roman" w:hAnsi="Times New Roman" w:eastAsia="仿宋_GB2312" w:cs="Times New Roman"/>
          <w:b/>
          <w:bCs/>
          <w:sz w:val="32"/>
          <w:szCs w:val="36"/>
        </w:rPr>
        <w:t>4</w:t>
      </w:r>
      <w:r>
        <w:rPr>
          <w:rFonts w:ascii="Times New Roman" w:hAnsi="Times New Roman" w:eastAsia="仿宋_GB2312" w:cs="Times New Roman"/>
          <w:b/>
          <w:bCs/>
          <w:sz w:val="32"/>
          <w:szCs w:val="36"/>
        </w:rPr>
        <w:t>.</w:t>
      </w:r>
      <w:r>
        <w:rPr>
          <w:rFonts w:hint="eastAsia" w:ascii="Times New Roman" w:hAnsi="Times New Roman" w:eastAsia="仿宋_GB2312" w:cs="Times New Roman"/>
          <w:b/>
          <w:bCs/>
          <w:sz w:val="32"/>
          <w:szCs w:val="36"/>
        </w:rPr>
        <w:t>夯实信息安全基石。</w:t>
      </w:r>
      <w:r>
        <w:rPr>
          <w:rFonts w:hint="eastAsia" w:ascii="Times New Roman" w:hAnsi="Times New Roman" w:eastAsia="仿宋_GB2312" w:cs="Times New Roman"/>
          <w:sz w:val="32"/>
          <w:szCs w:val="36"/>
        </w:rPr>
        <w:t>贯彻落实《关键信息基础设施安全保护条例》，提升安全意识和行动能力。落实网络安全等级保护</w:t>
      </w:r>
      <w:r>
        <w:rPr>
          <w:rFonts w:ascii="Times New Roman" w:hAnsi="Times New Roman" w:eastAsia="仿宋_GB2312" w:cs="Times New Roman"/>
          <w:sz w:val="32"/>
          <w:szCs w:val="36"/>
        </w:rPr>
        <w:t>2.0、涉密网络分级保护、商用密码应用安全评估等工作。建立健全数据安全管理制度，推广数据分类分级保护制度，加强数据处理活动的风险监测评估</w:t>
      </w:r>
      <w:r>
        <w:rPr>
          <w:rFonts w:hint="eastAsia" w:ascii="Times New Roman" w:hAnsi="Times New Roman" w:eastAsia="仿宋_GB2312" w:cs="Times New Roman"/>
          <w:sz w:val="32"/>
          <w:szCs w:val="36"/>
        </w:rPr>
        <w:t>。</w:t>
      </w:r>
      <w:r>
        <w:rPr>
          <w:rFonts w:ascii="Times New Roman" w:hAnsi="Times New Roman" w:eastAsia="仿宋_GB2312" w:cs="Times New Roman"/>
          <w:sz w:val="32"/>
          <w:szCs w:val="36"/>
        </w:rPr>
        <w:t>落实个人信息保护制度规范，强化利用公民隐私从事商业活动的监督和约束，加强对违法违规收集使用公民个人信息行为的打击治理。</w:t>
      </w:r>
    </w:p>
    <w:p>
      <w:pPr>
        <w:spacing w:line="360" w:lineRule="auto"/>
        <w:ind w:firstLine="640" w:firstLineChars="200"/>
        <w:outlineLvl w:val="0"/>
        <w:rPr>
          <w:rFonts w:ascii="Times New Roman" w:hAnsi="Times New Roman" w:eastAsia="黑体" w:cs="Times New Roman"/>
          <w:sz w:val="32"/>
          <w:szCs w:val="32"/>
        </w:rPr>
      </w:pPr>
      <w:bookmarkStart w:id="86" w:name="_Toc80366810"/>
      <w:r>
        <w:rPr>
          <w:rFonts w:ascii="Times New Roman" w:hAnsi="Times New Roman" w:eastAsia="黑体" w:cs="Times New Roman"/>
          <w:sz w:val="32"/>
          <w:szCs w:val="32"/>
        </w:rPr>
        <w:t>五、保障措施</w:t>
      </w:r>
      <w:bookmarkEnd w:id="86"/>
    </w:p>
    <w:p>
      <w:pPr>
        <w:spacing w:line="360" w:lineRule="auto"/>
        <w:ind w:firstLine="640" w:firstLineChars="200"/>
        <w:outlineLvl w:val="1"/>
        <w:rPr>
          <w:rFonts w:ascii="Times New Roman" w:hAnsi="Times New Roman" w:eastAsia="楷体_GB2312" w:cs="Times New Roman"/>
          <w:sz w:val="32"/>
          <w:szCs w:val="32"/>
        </w:rPr>
      </w:pPr>
      <w:bookmarkStart w:id="87" w:name="_Toc80366811"/>
      <w:bookmarkStart w:id="88" w:name="_Toc45488111"/>
      <w:bookmarkStart w:id="89" w:name="_Toc20351"/>
      <w:bookmarkStart w:id="90" w:name="_Toc12665"/>
      <w:r>
        <w:rPr>
          <w:rFonts w:ascii="Times New Roman" w:hAnsi="Times New Roman" w:eastAsia="楷体_GB2312" w:cs="Times New Roman"/>
          <w:sz w:val="32"/>
          <w:szCs w:val="32"/>
        </w:rPr>
        <w:t>（一）健全精准政策支持体系</w:t>
      </w:r>
      <w:bookmarkEnd w:id="87"/>
    </w:p>
    <w:p>
      <w:pPr>
        <w:pStyle w:val="32"/>
        <w:spacing w:line="360" w:lineRule="auto"/>
        <w:ind w:firstLine="643"/>
        <w:rPr>
          <w:rFonts w:ascii="Times New Roman" w:hAnsi="Times New Roman" w:cs="Times New Roman"/>
          <w:b/>
          <w:bCs/>
          <w:szCs w:val="36"/>
        </w:rPr>
      </w:pPr>
      <w:bookmarkStart w:id="91" w:name="_Toc55513714"/>
      <w:bookmarkStart w:id="92" w:name="_Toc55934759"/>
      <w:r>
        <w:rPr>
          <w:rFonts w:ascii="Times New Roman" w:hAnsi="Times New Roman" w:cs="Times New Roman"/>
          <w:b/>
          <w:bCs/>
        </w:rPr>
        <w:t>1. 用好用足“美丽经济”大政策</w:t>
      </w:r>
      <w:bookmarkEnd w:id="91"/>
      <w:bookmarkEnd w:id="92"/>
      <w:r>
        <w:rPr>
          <w:rFonts w:ascii="Times New Roman" w:hAnsi="Times New Roman" w:cs="Times New Roman"/>
          <w:b/>
          <w:bCs/>
        </w:rPr>
        <w:t>。</w:t>
      </w:r>
      <w:r>
        <w:rPr>
          <w:rFonts w:ascii="Times New Roman" w:hAnsi="Times New Roman" w:cs="Times New Roman"/>
        </w:rPr>
        <w:t>贯彻落实好《关于促进新时代美丽经济建设的若干意见》关于数字经济产业培育、产业数字化转型、数字经济服务平台、企业技术改造、科技创新等的政策，加大对数字经济重大项目建设、重点企业发展的支持力度。研究支持数字经济核心产业集群培育的专项政策和产品服务在地应用政策。建立数字经济政策绩效评价制度，开展激励措施“回头看”，对照产业发展新趋势、新变化、新特征和新需求，及时动态调整支持措施。</w:t>
      </w:r>
      <w:r>
        <w:rPr>
          <w:rFonts w:ascii="Times New Roman" w:hAnsi="Times New Roman" w:cs="Times New Roman"/>
          <w:szCs w:val="36"/>
        </w:rPr>
        <w:t xml:space="preserve"> </w:t>
      </w:r>
    </w:p>
    <w:p>
      <w:pPr>
        <w:pStyle w:val="32"/>
        <w:spacing w:line="360" w:lineRule="auto"/>
        <w:ind w:firstLine="643"/>
        <w:rPr>
          <w:rFonts w:ascii="Times New Roman" w:hAnsi="Times New Roman" w:cs="Times New Roman"/>
          <w:szCs w:val="36"/>
        </w:rPr>
      </w:pPr>
      <w:bookmarkStart w:id="93" w:name="_Toc55934760"/>
      <w:bookmarkStart w:id="94" w:name="_Toc55513715"/>
      <w:r>
        <w:rPr>
          <w:rFonts w:ascii="Times New Roman" w:hAnsi="Times New Roman" w:cs="Times New Roman"/>
          <w:b/>
          <w:bCs/>
        </w:rPr>
        <w:t xml:space="preserve">2. </w:t>
      </w:r>
      <w:bookmarkEnd w:id="93"/>
      <w:bookmarkEnd w:id="94"/>
      <w:r>
        <w:rPr>
          <w:rFonts w:hint="eastAsia" w:ascii="Times New Roman" w:hAnsi="Times New Roman" w:cs="Times New Roman"/>
          <w:b/>
          <w:bCs/>
        </w:rPr>
        <w:t>探索包容审慎的监管机制</w:t>
      </w:r>
      <w:r>
        <w:rPr>
          <w:rFonts w:ascii="Times New Roman" w:hAnsi="Times New Roman" w:cs="Times New Roman"/>
          <w:b/>
          <w:bCs/>
        </w:rPr>
        <w:t>。</w:t>
      </w:r>
      <w:r>
        <w:rPr>
          <w:rFonts w:ascii="Times New Roman" w:hAnsi="Times New Roman" w:cs="Times New Roman"/>
          <w:szCs w:val="36"/>
        </w:rPr>
        <w:t>建立财政资金“容忍”机制，对集成电路、半导体材料等前期投入大、产出周期长、产业带动性强的产业，探索“企业承诺+预补后扣”的政策扶持机制，激发企业创新活力。</w:t>
      </w:r>
      <w:r>
        <w:rPr>
          <w:rFonts w:hint="eastAsia" w:ascii="Times New Roman" w:hAnsi="Times New Roman" w:cs="Times New Roman"/>
          <w:szCs w:val="36"/>
        </w:rPr>
        <w:t>鼓励招引数字经济重点产业，对招引落地的半导体、工业机器人、人工智能等领域先进技术、先进工艺的项目建立“容错”机制</w:t>
      </w:r>
      <w:r>
        <w:rPr>
          <w:rFonts w:ascii="Times New Roman" w:hAnsi="Times New Roman" w:cs="Times New Roman"/>
          <w:szCs w:val="36"/>
        </w:rPr>
        <w:t>。</w:t>
      </w:r>
    </w:p>
    <w:p>
      <w:pPr>
        <w:pStyle w:val="32"/>
        <w:spacing w:line="360" w:lineRule="auto"/>
        <w:ind w:firstLine="643"/>
        <w:rPr>
          <w:rFonts w:ascii="Times New Roman" w:hAnsi="Times New Roman" w:cs="Times New Roman"/>
          <w:szCs w:val="36"/>
        </w:rPr>
      </w:pPr>
      <w:bookmarkStart w:id="95" w:name="_Toc55513716"/>
      <w:bookmarkStart w:id="96" w:name="_Toc55934761"/>
      <w:r>
        <w:rPr>
          <w:rFonts w:ascii="Times New Roman" w:hAnsi="Times New Roman" w:cs="Times New Roman"/>
          <w:b/>
          <w:bCs/>
        </w:rPr>
        <w:t>3. 积极争取上级优惠扶持政策</w:t>
      </w:r>
      <w:bookmarkEnd w:id="95"/>
      <w:bookmarkEnd w:id="96"/>
      <w:r>
        <w:rPr>
          <w:rFonts w:ascii="Times New Roman" w:hAnsi="Times New Roman" w:cs="Times New Roman"/>
          <w:b/>
          <w:bCs/>
        </w:rPr>
        <w:t>。</w:t>
      </w:r>
      <w:r>
        <w:rPr>
          <w:rFonts w:ascii="Times New Roman" w:hAnsi="Times New Roman" w:cs="Times New Roman"/>
          <w:szCs w:val="36"/>
        </w:rPr>
        <w:t>积极创建省级数字经济创新发展试验区，争取省级工业和信息化领域的财政专项支持，提升企业参与共建的积极性。以重点项目为牵引，协调争取省数字经济产业投资基金、国家集成电路产业投资基金等的倾斜支持。用足软件和集成电路、高新技术及小微企业等税收优惠（减免）政策及特殊环境下的优惠政策，协助数字经济企业争取首台（套）装备、首批次材料、首版次软件产品保险专项和重点研发计划专项政策。</w:t>
      </w:r>
    </w:p>
    <w:p>
      <w:pPr>
        <w:spacing w:line="360" w:lineRule="auto"/>
        <w:ind w:firstLine="640" w:firstLineChars="200"/>
        <w:outlineLvl w:val="1"/>
        <w:rPr>
          <w:rFonts w:ascii="Times New Roman" w:hAnsi="Times New Roman" w:eastAsia="楷体_GB2312" w:cs="Times New Roman"/>
          <w:sz w:val="32"/>
          <w:szCs w:val="32"/>
        </w:rPr>
      </w:pPr>
      <w:bookmarkStart w:id="97" w:name="_Toc80366812"/>
      <w:r>
        <w:rPr>
          <w:rFonts w:ascii="Times New Roman" w:hAnsi="Times New Roman" w:eastAsia="楷体_GB2312" w:cs="Times New Roman"/>
          <w:sz w:val="32"/>
          <w:szCs w:val="32"/>
        </w:rPr>
        <w:t>（二）构建全要素保障体系</w:t>
      </w:r>
      <w:bookmarkEnd w:id="97"/>
      <w:r>
        <w:rPr>
          <w:rFonts w:ascii="Times New Roman" w:hAnsi="Times New Roman" w:eastAsia="楷体_GB2312" w:cs="Times New Roman"/>
          <w:sz w:val="32"/>
          <w:szCs w:val="32"/>
        </w:rPr>
        <w:t xml:space="preserve"> </w:t>
      </w:r>
    </w:p>
    <w:p>
      <w:pPr>
        <w:pStyle w:val="32"/>
        <w:spacing w:line="360" w:lineRule="auto"/>
        <w:ind w:firstLine="643"/>
        <w:rPr>
          <w:rFonts w:ascii="Times New Roman" w:hAnsi="Times New Roman" w:cs="Times New Roman"/>
        </w:rPr>
      </w:pPr>
      <w:bookmarkStart w:id="98" w:name="_Toc55513718"/>
      <w:bookmarkStart w:id="99" w:name="_Toc55934763"/>
      <w:r>
        <w:rPr>
          <w:rFonts w:ascii="Times New Roman" w:hAnsi="Times New Roman" w:cs="Times New Roman"/>
          <w:b/>
          <w:bCs/>
        </w:rPr>
        <w:t>1. 优先保障数字经济项目用地</w:t>
      </w:r>
      <w:bookmarkEnd w:id="98"/>
      <w:bookmarkEnd w:id="99"/>
      <w:r>
        <w:rPr>
          <w:rFonts w:ascii="Times New Roman" w:hAnsi="Times New Roman" w:cs="Times New Roman"/>
          <w:b/>
          <w:bCs/>
        </w:rPr>
        <w:t>。</w:t>
      </w:r>
      <w:r>
        <w:rPr>
          <w:rFonts w:ascii="Times New Roman" w:hAnsi="Times New Roman" w:cs="Times New Roman"/>
        </w:rPr>
        <w:t xml:space="preserve">建立市数字经济重点产业目录，确保每年新增建设用地指标优先用于保障目录内数字经济重点项目招引。通过老旧工业点改造、小微企业园建设、骨干企业园区等，盘活低效再开发用地用于支持数字经济核心制造业项目建设。深化推进“区域环评+环境标准”改革，建立数字经济园区、特色小镇、小微企业园等的平台规划环评与项目联动机制，精简环评内容，提高审批效率。 </w:t>
      </w:r>
    </w:p>
    <w:p>
      <w:pPr>
        <w:pStyle w:val="32"/>
        <w:spacing w:line="360" w:lineRule="auto"/>
        <w:ind w:firstLine="643"/>
        <w:rPr>
          <w:rFonts w:ascii="Times New Roman" w:hAnsi="Times New Roman" w:cs="Times New Roman"/>
          <w:b/>
          <w:bCs/>
        </w:rPr>
      </w:pPr>
      <w:bookmarkStart w:id="100" w:name="_Toc55934764"/>
      <w:bookmarkStart w:id="101" w:name="_Toc55513719"/>
      <w:r>
        <w:rPr>
          <w:rFonts w:ascii="Times New Roman" w:hAnsi="Times New Roman" w:cs="Times New Roman"/>
          <w:b/>
          <w:bCs/>
        </w:rPr>
        <w:t>2. 建立多通道的产融合作机制</w:t>
      </w:r>
      <w:bookmarkEnd w:id="100"/>
      <w:bookmarkEnd w:id="101"/>
      <w:r>
        <w:rPr>
          <w:rFonts w:ascii="Times New Roman" w:hAnsi="Times New Roman" w:cs="Times New Roman"/>
          <w:b/>
          <w:bCs/>
        </w:rPr>
        <w:t>。</w:t>
      </w:r>
      <w:r>
        <w:rPr>
          <w:rFonts w:ascii="Times New Roman" w:hAnsi="Times New Roman" w:cs="Times New Roman"/>
          <w:szCs w:val="36"/>
        </w:rPr>
        <w:t>按照“政府引导、市场参与”的方式，设立市数字经济发展投资引导基金，以市场化方式重点支持我市数字经济领域的创业创新。建立数字经济企业股改和上市企业培育库，支持在库企业利用注册制改革积极上市融资。鼓励我市大型制造企业参股数字经济企业或项目建设。与我市城市商业银行合作共建银企合作对接平台，探索融资租赁新模式，提供低成本、便利化间接融资发展。</w:t>
      </w:r>
    </w:p>
    <w:p>
      <w:pPr>
        <w:pStyle w:val="32"/>
        <w:spacing w:line="360" w:lineRule="auto"/>
        <w:ind w:firstLine="643"/>
        <w:rPr>
          <w:rFonts w:ascii="Times New Roman" w:hAnsi="Times New Roman" w:cs="Times New Roman"/>
          <w:color w:val="FF0000"/>
        </w:rPr>
      </w:pPr>
      <w:bookmarkStart w:id="102" w:name="_Toc55934765"/>
      <w:bookmarkStart w:id="103" w:name="_Toc55513720"/>
      <w:r>
        <w:rPr>
          <w:rFonts w:ascii="Times New Roman" w:hAnsi="Times New Roman" w:cs="Times New Roman"/>
          <w:b/>
          <w:bCs/>
        </w:rPr>
        <w:t>3. 构建数字技术人才引培网络</w:t>
      </w:r>
      <w:bookmarkEnd w:id="102"/>
      <w:bookmarkEnd w:id="103"/>
      <w:r>
        <w:rPr>
          <w:rFonts w:ascii="Times New Roman" w:hAnsi="Times New Roman" w:cs="Times New Roman"/>
          <w:b/>
          <w:bCs/>
        </w:rPr>
        <w:t>。</w:t>
      </w:r>
      <w:r>
        <w:rPr>
          <w:rFonts w:ascii="Times New Roman" w:hAnsi="Times New Roman" w:cs="Times New Roman"/>
        </w:rPr>
        <w:t>实施“数字菁英”引才计划，探索异地人才社保、人才评价互认，引进企业急需的高技能人才和“国千”“省千”、台州市</w:t>
      </w:r>
      <w:r>
        <w:rPr>
          <w:rFonts w:hint="eastAsia" w:ascii="Times New Roman" w:hAnsi="Times New Roman" w:cs="Times New Roman"/>
        </w:rPr>
        <w:t>人才新政2</w:t>
      </w:r>
      <w:r>
        <w:rPr>
          <w:rFonts w:ascii="Times New Roman" w:hAnsi="Times New Roman" w:cs="Times New Roman"/>
        </w:rPr>
        <w:t>.0等高层次人才，推动玉籍企业家、高层次人才返乡创业创新。支持企业与清华大学、</w:t>
      </w:r>
      <w:r>
        <w:rPr>
          <w:rFonts w:ascii="Times New Roman" w:hAnsi="Times New Roman" w:cs="Times New Roman"/>
          <w:szCs w:val="36"/>
        </w:rPr>
        <w:t>浙江大学、天津大学、浙江工业大学等高校</w:t>
      </w:r>
      <w:r>
        <w:rPr>
          <w:rFonts w:ascii="Times New Roman" w:hAnsi="Times New Roman" w:cs="Times New Roman"/>
        </w:rPr>
        <w:t>、科研院所合作开展“工学交替”改革，重点在智能制造、工业互联网等领域实施订单式、专业化高技能人才培养。建设信息技术领域的工程师协同创新中心，实施“数字金蓝领”“数字工匠”“数字工程师”职业技能提升加速工程。落实人才评价改革，探索数字经济企业开展高层次人才自主评价、职业技能等级认定，给予企业人才培养自主权。</w:t>
      </w:r>
    </w:p>
    <w:p>
      <w:pPr>
        <w:spacing w:line="360" w:lineRule="auto"/>
        <w:ind w:firstLine="640" w:firstLineChars="200"/>
        <w:outlineLvl w:val="1"/>
        <w:rPr>
          <w:rFonts w:ascii="Times New Roman" w:hAnsi="Times New Roman" w:eastAsia="楷体_GB2312" w:cs="Times New Roman"/>
          <w:sz w:val="32"/>
          <w:szCs w:val="32"/>
        </w:rPr>
      </w:pPr>
      <w:bookmarkStart w:id="104" w:name="_Toc80366813"/>
      <w:r>
        <w:rPr>
          <w:rFonts w:ascii="Times New Roman" w:hAnsi="Times New Roman" w:eastAsia="楷体_GB2312" w:cs="Times New Roman"/>
          <w:sz w:val="32"/>
          <w:szCs w:val="32"/>
        </w:rPr>
        <w:t>（三）确立极优的发展环境</w:t>
      </w:r>
      <w:bookmarkEnd w:id="104"/>
    </w:p>
    <w:p>
      <w:pPr>
        <w:pStyle w:val="32"/>
        <w:spacing w:line="360" w:lineRule="auto"/>
        <w:ind w:firstLine="643"/>
        <w:rPr>
          <w:rFonts w:ascii="Times New Roman" w:hAnsi="Times New Roman" w:cs="Times New Roman"/>
        </w:rPr>
      </w:pPr>
      <w:bookmarkStart w:id="105" w:name="_Toc55513722"/>
      <w:bookmarkStart w:id="106" w:name="_Toc55934767"/>
      <w:r>
        <w:rPr>
          <w:rFonts w:ascii="Times New Roman" w:hAnsi="Times New Roman" w:cs="Times New Roman"/>
          <w:b/>
          <w:bCs/>
        </w:rPr>
        <w:t>1. 构建企业服务便利化通道</w:t>
      </w:r>
      <w:bookmarkEnd w:id="105"/>
      <w:bookmarkEnd w:id="106"/>
      <w:r>
        <w:rPr>
          <w:rFonts w:ascii="Times New Roman" w:hAnsi="Times New Roman" w:cs="Times New Roman"/>
          <w:b/>
          <w:bCs/>
        </w:rPr>
        <w:t>。</w:t>
      </w:r>
      <w:r>
        <w:rPr>
          <w:rFonts w:ascii="Times New Roman" w:hAnsi="Times New Roman" w:cs="Times New Roman"/>
        </w:rPr>
        <w:t>完善“企业码”“乐产码”等平台，整合涉企政策事项和服务，实现“在线申报+后期审验、在线评审、不见面通兑”，提升企业政策兑现便利性。迭代升级政府涉企服务平台，推动涉企部门业务协同、公共数据开放，实现企业有需求、服务到身边。实施方便企业 “一件事一次办”流程再造，推进“无差别全科受理”改革，推行政务服务事项标准化改革。全面推广“证照分离”改革，实现电子证照、电子印章、电子档案应用，常态化企业开办全环节“云办理”“秒审批”，实现常态化企业开办全流程“一日办结”和部门设置涉企事项“零许可”。</w:t>
      </w:r>
    </w:p>
    <w:p>
      <w:pPr>
        <w:pStyle w:val="32"/>
        <w:spacing w:line="360" w:lineRule="auto"/>
        <w:ind w:firstLine="643"/>
        <w:rPr>
          <w:rFonts w:ascii="Times New Roman" w:hAnsi="Times New Roman" w:cs="Times New Roman"/>
        </w:rPr>
      </w:pPr>
      <w:bookmarkStart w:id="107" w:name="_Toc55513723"/>
      <w:bookmarkStart w:id="108" w:name="_Toc55934768"/>
      <w:r>
        <w:rPr>
          <w:rFonts w:ascii="Times New Roman" w:hAnsi="Times New Roman" w:cs="Times New Roman"/>
          <w:b/>
          <w:bCs/>
        </w:rPr>
        <w:t>2. 深化项目推进机制改革</w:t>
      </w:r>
      <w:bookmarkEnd w:id="107"/>
      <w:bookmarkEnd w:id="108"/>
      <w:r>
        <w:rPr>
          <w:rFonts w:ascii="Times New Roman" w:hAnsi="Times New Roman" w:cs="Times New Roman"/>
          <w:b/>
          <w:bCs/>
        </w:rPr>
        <w:t>。</w:t>
      </w:r>
      <w:r>
        <w:rPr>
          <w:rFonts w:ascii="Times New Roman" w:hAnsi="Times New Roman" w:cs="Times New Roman"/>
        </w:rPr>
        <w:t xml:space="preserve">加快工业企业“零土地”技改。深化投资项目审批全流程改革，推行“容缺审批+承诺制”管理。推进施工图审查改革，推行“标准地+承诺制” “区域能评+区块能耗标准”和“代办制+上门服务”，应用投资项目审批监管3.0平台，实现一般企业投资项目全过程审批“最多80天”，一般政府投资项目开工前审批“最多60 天”，探索低风险小型项目审批最多20个工作日。推进重点项目“一站式、代办式”服务，探索在重点产业园区、载体平台设立行政服务分平台，统一受理园区内企业的行政审批事项，确保审批事项办理“不出园”。  </w:t>
      </w:r>
    </w:p>
    <w:p>
      <w:pPr>
        <w:pStyle w:val="32"/>
        <w:spacing w:line="360" w:lineRule="auto"/>
        <w:ind w:firstLine="643"/>
        <w:rPr>
          <w:rFonts w:ascii="Times New Roman" w:hAnsi="Times New Roman" w:cs="Times New Roman"/>
          <w:b/>
          <w:bCs/>
          <w:sz w:val="36"/>
          <w:szCs w:val="40"/>
        </w:rPr>
      </w:pPr>
      <w:bookmarkStart w:id="109" w:name="_Toc55513724"/>
      <w:bookmarkStart w:id="110" w:name="_Toc55934769"/>
      <w:r>
        <w:rPr>
          <w:rFonts w:ascii="Times New Roman" w:hAnsi="Times New Roman" w:cs="Times New Roman"/>
          <w:b/>
          <w:bCs/>
        </w:rPr>
        <w:t>3. 营造活跃开放的发展氛围</w:t>
      </w:r>
      <w:bookmarkEnd w:id="109"/>
      <w:bookmarkEnd w:id="110"/>
      <w:r>
        <w:rPr>
          <w:rFonts w:ascii="Times New Roman" w:hAnsi="Times New Roman" w:cs="Times New Roman"/>
          <w:b/>
          <w:bCs/>
        </w:rPr>
        <w:t>。</w:t>
      </w:r>
      <w:r>
        <w:rPr>
          <w:rFonts w:ascii="Times New Roman" w:hAnsi="Times New Roman" w:cs="Times New Roman"/>
          <w:color w:val="000000"/>
        </w:rPr>
        <w:t>严格保护市场主体经营自主权、财产权等合法权利，强化企业、企业家权益司法保护，营造安商亲商兴商氛围。每年召开数字经济高质量发展大会，加大对数字经济领域高质量示范企业、优秀企业家、代表性创新成果等的激励、宣传报道。举办产业数字化现场会、专题研修、对标考察，举办好年度科技活动周、“玉环国际高层次人才创业创新大赛”“玉环市新经济创业创新大赛”等各类活动。积极推动数字经济企业“走出去”参与“一带一路”、长三角区域一体化、浙江大湾区等重大工程项目建设，提升玉环数字经济品牌影响力。</w:t>
      </w:r>
    </w:p>
    <w:p>
      <w:pPr>
        <w:spacing w:line="360" w:lineRule="auto"/>
        <w:ind w:firstLine="640" w:firstLineChars="200"/>
        <w:outlineLvl w:val="1"/>
        <w:rPr>
          <w:rFonts w:ascii="Times New Roman" w:hAnsi="Times New Roman" w:eastAsia="楷体_GB2312" w:cs="Times New Roman"/>
          <w:sz w:val="32"/>
          <w:szCs w:val="32"/>
        </w:rPr>
      </w:pPr>
      <w:bookmarkStart w:id="111" w:name="_Toc80366814"/>
      <w:r>
        <w:rPr>
          <w:rFonts w:ascii="Times New Roman" w:hAnsi="Times New Roman" w:eastAsia="楷体_GB2312" w:cs="Times New Roman"/>
          <w:sz w:val="32"/>
          <w:szCs w:val="32"/>
        </w:rPr>
        <w:t>（四）建立强力组织实施机制</w:t>
      </w:r>
      <w:bookmarkEnd w:id="111"/>
    </w:p>
    <w:bookmarkEnd w:id="88"/>
    <w:bookmarkEnd w:id="89"/>
    <w:p>
      <w:pPr>
        <w:pStyle w:val="32"/>
        <w:spacing w:line="360" w:lineRule="auto"/>
        <w:ind w:firstLine="643"/>
        <w:rPr>
          <w:rFonts w:ascii="Times New Roman" w:hAnsi="Times New Roman" w:cs="Times New Roman"/>
        </w:rPr>
      </w:pPr>
      <w:bookmarkStart w:id="112" w:name="_Toc55934771"/>
      <w:bookmarkStart w:id="113" w:name="_Toc55513726"/>
      <w:r>
        <w:rPr>
          <w:rFonts w:ascii="Times New Roman" w:hAnsi="Times New Roman" w:cs="Times New Roman"/>
          <w:b/>
          <w:bCs/>
        </w:rPr>
        <w:t>1. 强化提升组织领导体系</w:t>
      </w:r>
      <w:bookmarkEnd w:id="112"/>
      <w:bookmarkEnd w:id="113"/>
      <w:r>
        <w:rPr>
          <w:rFonts w:ascii="Times New Roman" w:hAnsi="Times New Roman" w:cs="Times New Roman"/>
          <w:b/>
          <w:bCs/>
        </w:rPr>
        <w:t>。</w:t>
      </w:r>
      <w:r>
        <w:rPr>
          <w:rFonts w:ascii="Times New Roman" w:hAnsi="Times New Roman" w:cs="Times New Roman"/>
        </w:rPr>
        <w:t>在市数字经济发展领导小组的框架下，精细化组织分工，由市经信局牵头制造业数字化工作、玉环经济开发区牵头数字经济产业培育工作、市发改局牵头数字新业态培育工作、市商务局牵头电商新业态培育工作、市大数据发展中心牵头数字治理工作，按年度重点任务和目标开展“比学赶超”。建立由市主要领导参加的专题例会制度，按月度召集领导小组成员单位和重点任务责任单位，集中汇报阶段工作成效、集中研判问题、集中决策及协调。增强领导小组办公室日常工作协调、任务统筹、工作推进职能。</w:t>
      </w:r>
    </w:p>
    <w:p>
      <w:pPr>
        <w:pStyle w:val="32"/>
        <w:spacing w:line="360" w:lineRule="auto"/>
        <w:ind w:firstLine="643"/>
        <w:rPr>
          <w:rFonts w:ascii="Times New Roman" w:hAnsi="Times New Roman" w:cs="Times New Roman"/>
        </w:rPr>
      </w:pPr>
      <w:bookmarkStart w:id="114" w:name="_Toc55513727"/>
      <w:bookmarkStart w:id="115" w:name="_Toc55934772"/>
      <w:r>
        <w:rPr>
          <w:rFonts w:ascii="Times New Roman" w:hAnsi="Times New Roman" w:cs="Times New Roman"/>
          <w:b/>
          <w:bCs/>
        </w:rPr>
        <w:t>2. 强化规划实施动态监测</w:t>
      </w:r>
      <w:bookmarkEnd w:id="114"/>
      <w:bookmarkEnd w:id="115"/>
      <w:r>
        <w:rPr>
          <w:rFonts w:ascii="Times New Roman" w:hAnsi="Times New Roman" w:cs="Times New Roman"/>
          <w:b/>
          <w:bCs/>
        </w:rPr>
        <w:t>。</w:t>
      </w:r>
      <w:r>
        <w:rPr>
          <w:rFonts w:ascii="Times New Roman" w:hAnsi="Times New Roman" w:cs="Times New Roman"/>
        </w:rPr>
        <w:t>市经信局联合统计局研究出台符合我市实际的数字经济发展成效统计评价体系和动态监测机制、“红黑榜”通报机制，联合开展数字经济发展成效评价工作。在市数字经济发展领导小组工作框架下，领导小组办公室联合市委市政府督查室，面向所有成员单位及重点任务牵头部门定期开展规划任务及目标落实情况督查，形成督查报告并报市委市政府主要领导。清理并将数字经济、工业和信息化、新业态、数字政府等领域的考核统一纳入数字经济督查考核，将督查考核结果作为唯一标准并直接纳入市委对各部门、乡镇街道、经济开发区等的党政绩效考核体系，并提升考核权重。</w:t>
      </w:r>
    </w:p>
    <w:p>
      <w:pPr>
        <w:pStyle w:val="32"/>
        <w:spacing w:line="360" w:lineRule="auto"/>
        <w:ind w:firstLine="643"/>
        <w:rPr>
          <w:rFonts w:ascii="Times New Roman" w:hAnsi="Times New Roman" w:cs="Times New Roman"/>
        </w:rPr>
      </w:pPr>
      <w:bookmarkStart w:id="116" w:name="_Toc55513728"/>
      <w:bookmarkStart w:id="117" w:name="_Toc55934773"/>
      <w:bookmarkStart w:id="118" w:name="_Toc21285"/>
      <w:r>
        <w:rPr>
          <w:rFonts w:ascii="Times New Roman" w:hAnsi="Times New Roman" w:cs="Times New Roman"/>
          <w:b/>
          <w:bCs/>
        </w:rPr>
        <w:t>3. 长期性实质性提升认识</w:t>
      </w:r>
      <w:bookmarkEnd w:id="116"/>
      <w:bookmarkEnd w:id="117"/>
      <w:r>
        <w:rPr>
          <w:rFonts w:ascii="Times New Roman" w:hAnsi="Times New Roman" w:cs="Times New Roman"/>
          <w:b/>
          <w:bCs/>
        </w:rPr>
        <w:t>。</w:t>
      </w:r>
      <w:bookmarkEnd w:id="90"/>
      <w:bookmarkEnd w:id="118"/>
      <w:r>
        <w:rPr>
          <w:rFonts w:ascii="Times New Roman" w:hAnsi="Times New Roman" w:cs="Times New Roman"/>
        </w:rPr>
        <w:t xml:space="preserve">建立专题培训和对标考察制度，市委组织部联合领导小组办公室每年度组织数字经济研修班、考察班，开展政府部门、企事业单位党政“一把手”的数字经济培训、轮训，实质性提升思想意识和责任意识。建立政府数字经济顾问制度，每年面向市内外征集一批来自高校、科研院所、数字经济骨干企业、行业组织等领域的资深专家，市数字经济顾问委员会，为规划实施、政策研究、重大决策、企业指导等提供咨询智力支持。 </w:t>
      </w:r>
    </w:p>
    <w:p>
      <w:pPr>
        <w:widowControl/>
        <w:spacing w:line="360" w:lineRule="auto"/>
        <w:jc w:val="left"/>
        <w:rPr>
          <w:rFonts w:ascii="Times New Roman" w:hAnsi="Times New Roman" w:eastAsia="黑体" w:cs="Times New Roman"/>
          <w:sz w:val="32"/>
          <w:szCs w:val="32"/>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spacing w:line="360" w:lineRule="auto"/>
        <w:ind w:firstLine="640" w:firstLineChars="200"/>
        <w:outlineLvl w:val="0"/>
        <w:rPr>
          <w:rFonts w:ascii="Times New Roman" w:hAnsi="Times New Roman" w:eastAsia="黑体" w:cs="Times New Roman"/>
          <w:sz w:val="32"/>
          <w:szCs w:val="32"/>
        </w:rPr>
      </w:pPr>
      <w:bookmarkStart w:id="119" w:name="_Toc80366815"/>
      <w:r>
        <w:rPr>
          <w:rFonts w:ascii="Times New Roman" w:hAnsi="Times New Roman" w:eastAsia="黑体" w:cs="Times New Roman"/>
          <w:sz w:val="32"/>
          <w:szCs w:val="32"/>
        </w:rPr>
        <w:t>附表</w:t>
      </w:r>
      <w:bookmarkEnd w:id="119"/>
      <w:r>
        <w:rPr>
          <w:rFonts w:ascii="Times New Roman" w:hAnsi="Times New Roman" w:eastAsia="黑体" w:cs="Times New Roman"/>
          <w:sz w:val="32"/>
          <w:szCs w:val="32"/>
        </w:rPr>
        <w:t xml:space="preserve"> </w:t>
      </w:r>
    </w:p>
    <w:p>
      <w:pPr>
        <w:spacing w:line="360" w:lineRule="auto"/>
        <w:jc w:val="center"/>
        <w:outlineLvl w:val="1"/>
        <w:rPr>
          <w:rFonts w:ascii="Times New Roman" w:hAnsi="Times New Roman" w:eastAsia="楷体_GB2312" w:cs="Times New Roman"/>
          <w:sz w:val="32"/>
          <w:szCs w:val="32"/>
        </w:rPr>
      </w:pPr>
      <w:bookmarkStart w:id="120" w:name="_Toc80366816"/>
      <w:r>
        <w:rPr>
          <w:rFonts w:ascii="Times New Roman" w:hAnsi="Times New Roman" w:eastAsia="楷体_GB2312" w:cs="Times New Roman"/>
          <w:b/>
          <w:bCs/>
          <w:sz w:val="32"/>
          <w:szCs w:val="32"/>
        </w:rPr>
        <w:t>附表1： “十四五”时期玉环市数字经济发展重点项目表</w:t>
      </w:r>
      <w:bookmarkEnd w:id="120"/>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640"/>
        <w:gridCol w:w="2127"/>
        <w:gridCol w:w="668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257" w:type="pct"/>
            <w:shd w:val="clear" w:color="auto" w:fill="F1F1F1" w:themeFill="background1" w:themeFillShade="F2"/>
            <w:vAlign w:val="center"/>
          </w:tcPr>
          <w:p>
            <w:pPr>
              <w:jc w:val="center"/>
              <w:rPr>
                <w:rFonts w:ascii="Times New Roman" w:hAnsi="Times New Roman" w:eastAsia="黑体" w:cs="Times New Roman"/>
                <w:sz w:val="20"/>
                <w:szCs w:val="20"/>
              </w:rPr>
            </w:pPr>
            <w:r>
              <w:rPr>
                <w:rFonts w:ascii="Times New Roman" w:hAnsi="Times New Roman" w:eastAsia="黑体" w:cs="Times New Roman"/>
                <w:sz w:val="20"/>
                <w:szCs w:val="20"/>
              </w:rPr>
              <w:t>序号</w:t>
            </w:r>
          </w:p>
        </w:tc>
        <w:tc>
          <w:tcPr>
            <w:tcW w:w="932" w:type="pct"/>
            <w:shd w:val="clear" w:color="auto" w:fill="F1F1F1" w:themeFill="background1" w:themeFillShade="F2"/>
            <w:vAlign w:val="center"/>
          </w:tcPr>
          <w:p>
            <w:pPr>
              <w:jc w:val="center"/>
              <w:rPr>
                <w:rFonts w:ascii="Times New Roman" w:hAnsi="Times New Roman" w:eastAsia="黑体" w:cs="Times New Roman"/>
                <w:sz w:val="20"/>
                <w:szCs w:val="20"/>
              </w:rPr>
            </w:pPr>
            <w:r>
              <w:rPr>
                <w:rFonts w:ascii="Times New Roman" w:hAnsi="Times New Roman" w:eastAsia="黑体" w:cs="Times New Roman"/>
                <w:sz w:val="20"/>
                <w:szCs w:val="20"/>
              </w:rPr>
              <w:t>项目名称</w:t>
            </w:r>
          </w:p>
        </w:tc>
        <w:tc>
          <w:tcPr>
            <w:tcW w:w="751" w:type="pct"/>
            <w:shd w:val="clear" w:color="auto" w:fill="F1F1F1" w:themeFill="background1" w:themeFillShade="F2"/>
            <w:vAlign w:val="center"/>
          </w:tcPr>
          <w:p>
            <w:pPr>
              <w:jc w:val="center"/>
              <w:rPr>
                <w:rFonts w:ascii="Times New Roman" w:hAnsi="Times New Roman" w:eastAsia="黑体" w:cs="Times New Roman"/>
                <w:sz w:val="20"/>
                <w:szCs w:val="20"/>
              </w:rPr>
            </w:pPr>
            <w:r>
              <w:rPr>
                <w:rFonts w:ascii="Times New Roman" w:hAnsi="Times New Roman" w:eastAsia="黑体" w:cs="Times New Roman"/>
                <w:sz w:val="20"/>
                <w:szCs w:val="20"/>
              </w:rPr>
              <w:t>责任单位</w:t>
            </w:r>
          </w:p>
        </w:tc>
        <w:tc>
          <w:tcPr>
            <w:tcW w:w="2360" w:type="pct"/>
            <w:shd w:val="clear" w:color="auto" w:fill="F1F1F1" w:themeFill="background1" w:themeFillShade="F2"/>
            <w:vAlign w:val="center"/>
          </w:tcPr>
          <w:p>
            <w:pPr>
              <w:jc w:val="center"/>
              <w:rPr>
                <w:rFonts w:ascii="Times New Roman" w:hAnsi="Times New Roman" w:eastAsia="黑体" w:cs="Times New Roman"/>
                <w:sz w:val="20"/>
                <w:szCs w:val="20"/>
              </w:rPr>
            </w:pPr>
            <w:r>
              <w:rPr>
                <w:rFonts w:ascii="Times New Roman" w:hAnsi="Times New Roman" w:eastAsia="黑体" w:cs="Times New Roman"/>
                <w:sz w:val="20"/>
                <w:szCs w:val="20"/>
              </w:rPr>
              <w:t>建设内容</w:t>
            </w:r>
          </w:p>
        </w:tc>
        <w:tc>
          <w:tcPr>
            <w:tcW w:w="700" w:type="pct"/>
            <w:shd w:val="clear" w:color="auto" w:fill="F1F1F1" w:themeFill="background1" w:themeFillShade="F2"/>
            <w:vAlign w:val="center"/>
          </w:tcPr>
          <w:p>
            <w:pPr>
              <w:jc w:val="center"/>
              <w:rPr>
                <w:rFonts w:ascii="Times New Roman" w:hAnsi="Times New Roman" w:eastAsia="黑体" w:cs="Times New Roman"/>
                <w:sz w:val="20"/>
                <w:szCs w:val="20"/>
              </w:rPr>
            </w:pPr>
            <w:r>
              <w:rPr>
                <w:rFonts w:ascii="Times New Roman" w:hAnsi="Times New Roman" w:eastAsia="黑体" w:cs="Times New Roman"/>
                <w:sz w:val="20"/>
                <w:szCs w:val="20"/>
              </w:rPr>
              <w:t>实施期限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“腾讯·玉环”新型智慧城市建设（一期）</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市大数据发展管理局</w:t>
            </w:r>
          </w:p>
        </w:tc>
        <w:tc>
          <w:tcPr>
            <w:tcW w:w="2360" w:type="pct"/>
            <w:vAlign w:val="center"/>
          </w:tcPr>
          <w:p>
            <w:pPr>
              <w:rPr>
                <w:rFonts w:ascii="Times New Roman" w:hAnsi="Times New Roman" w:eastAsia="宋体" w:cs="Times New Roman"/>
                <w:sz w:val="20"/>
                <w:szCs w:val="20"/>
              </w:rPr>
            </w:pPr>
            <w:r>
              <w:rPr>
                <w:rFonts w:hint="eastAsia" w:ascii="Times New Roman" w:hAnsi="Times New Roman" w:eastAsia="宋体" w:cs="Times New Roman"/>
                <w:sz w:val="20"/>
                <w:szCs w:val="20"/>
              </w:rPr>
              <w:t>构建“腾讯·玉环”新型智慧城市技术体系，建成包括社会服务、社会治理、产业发展在内的全方位支撑平台，实现社会数据和政府数据在授信的前提下有限共享，释放大数据红利，推进以人为本的各类应用和服务发展，提升社会治理能力，助推产业发展升级。</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玉环智安小区平台建设</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市公安局</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 xml:space="preserve">项目建设范围涉及玉环市约200个小区和村居。2020年计划完成70个以上，后2年完成130个。截止到2020年3月底，已初步完成智安小区、智慧物业平台搭建，完成玉环市玉城街道壹号公馆智安小区的标杆建设并通过台州市公安部门的验收。  </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3</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视频物联网技术运营平台建设项目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市公安局</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项目总投资5.1亿，占地面积30亩，建筑面积5000平方，采购视频设备、信号控制设备、软件及技术服等，建立视频物联网技术运营平台项目。项目建成可形成7亿产值 ，利税8000万。</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4</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东</w:t>
            </w:r>
            <w:r>
              <w:rPr>
                <w:rFonts w:hint="eastAsia" w:ascii="Times New Roman" w:hAnsi="Times New Roman" w:eastAsia="宋体" w:cs="Times New Roman"/>
                <w:sz w:val="20"/>
                <w:szCs w:val="20"/>
              </w:rPr>
              <w:t>风</w:t>
            </w:r>
            <w:r>
              <w:rPr>
                <w:rFonts w:ascii="Times New Roman" w:hAnsi="Times New Roman" w:eastAsia="宋体" w:cs="Times New Roman"/>
                <w:sz w:val="20"/>
                <w:szCs w:val="20"/>
              </w:rPr>
              <w:t>未来社区项目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坎门街道</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东风工业区退二进三，打造未来社区。</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5</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玉环5G网络建设</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中国联通玉环分公司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项目总投资1.73亿元，建设5G无线网室外站，共新建600多个5G基站和室分。建成后实现玉环城区乡镇农村基本覆盖，基本实现与现网4G覆盖效果可比。截至2020年3月，实现玉环市政府所在地周边、核心区部分重要商圈5G网络覆盖。</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6</w:t>
            </w:r>
          </w:p>
        </w:tc>
        <w:tc>
          <w:tcPr>
            <w:tcW w:w="932" w:type="pct"/>
            <w:vAlign w:val="center"/>
          </w:tcPr>
          <w:p>
            <w:pPr>
              <w:rPr>
                <w:rFonts w:ascii="Times New Roman" w:hAnsi="Times New Roman" w:eastAsia="宋体" w:cs="Times New Roman"/>
                <w:sz w:val="20"/>
                <w:szCs w:val="20"/>
              </w:rPr>
            </w:pPr>
            <w:r>
              <w:rPr>
                <w:rFonts w:hint="eastAsia" w:ascii="Times New Roman" w:hAnsi="Times New Roman" w:eastAsia="宋体" w:cs="Times New Roman"/>
                <w:sz w:val="20"/>
                <w:szCs w:val="20"/>
              </w:rPr>
              <w:t>玉环南湾智谷产业园</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芦浦镇</w:t>
            </w:r>
            <w:r>
              <w:rPr>
                <w:rFonts w:hint="eastAsia" w:ascii="Times New Roman" w:hAnsi="Times New Roman" w:eastAsia="宋体" w:cs="Times New Roman"/>
                <w:sz w:val="20"/>
                <w:szCs w:val="20"/>
              </w:rPr>
              <w:t>、</w:t>
            </w:r>
          </w:p>
          <w:p>
            <w:pPr>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玉环经济开发区</w:t>
            </w:r>
          </w:p>
        </w:tc>
        <w:tc>
          <w:tcPr>
            <w:tcW w:w="2360" w:type="pct"/>
            <w:vAlign w:val="center"/>
          </w:tcPr>
          <w:p>
            <w:pPr>
              <w:rPr>
                <w:rFonts w:ascii="Times New Roman" w:hAnsi="Times New Roman" w:eastAsia="宋体" w:cs="Times New Roman"/>
                <w:sz w:val="20"/>
                <w:szCs w:val="20"/>
              </w:rPr>
            </w:pPr>
            <w:r>
              <w:rPr>
                <w:rFonts w:hint="eastAsia" w:ascii="Times New Roman" w:hAnsi="Times New Roman" w:eastAsia="宋体" w:cs="Times New Roman"/>
                <w:sz w:val="20"/>
                <w:szCs w:val="20"/>
              </w:rPr>
              <w:t>用地面积</w:t>
            </w:r>
            <w:r>
              <w:rPr>
                <w:rFonts w:ascii="Times New Roman" w:hAnsi="Times New Roman" w:eastAsia="宋体" w:cs="Times New Roman"/>
                <w:sz w:val="20"/>
                <w:szCs w:val="20"/>
              </w:rPr>
              <w:t>2019亩，重点发展电子信息、智能装备、智能电气等产业，打造集产业研发、智能制造、技术创新于一体的浙东南数字化智慧产业园</w:t>
            </w:r>
            <w:r>
              <w:rPr>
                <w:rFonts w:hint="eastAsia" w:ascii="Times New Roman" w:hAnsi="Times New Roman" w:eastAsia="宋体" w:cs="Times New Roman"/>
                <w:sz w:val="20"/>
                <w:szCs w:val="20"/>
              </w:rPr>
              <w:t>。</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7</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飞挺工程机械综合产业园</w:t>
            </w:r>
            <w:r>
              <w:rPr>
                <w:rFonts w:hint="eastAsia" w:ascii="Times New Roman" w:hAnsi="Times New Roman" w:eastAsia="宋体" w:cs="Times New Roman"/>
                <w:sz w:val="20"/>
                <w:szCs w:val="20"/>
              </w:rPr>
              <w:t xml:space="preserve"> </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浙江飞挺机械股份有限公司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投资5亿元，占地70亩，新型高端健身器材、机器人高精密同步带轮及工程机械关键部件等生产。</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8</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航空产业园</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浙江旺盛动力机电有限公司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投资10亿元，占地面积100亩（一期60亩），航天航空特种材料生产技改项目。</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9</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阀门工业互联网平台</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浙江智联阀门科技有限公司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项目主要提供信息技术服务、商品贸易服务、供应链金融服务三大板块。通过原料为切入口，以技术重塑传统产业链，大数据助力产业升级，逐步打造阀门产业互联网平台。逐步孵化一家线上贸易规模超过50亿的服务业销售平台</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10</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双环传动智控工业大数据平台建设技改项</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浙江双环传动机械股份有限公司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总投资1.6亿，面向传统长三角地区汽车零部件行业建设区域专家资源库，在行业内率先布局从研发到制造全流程智能化模式。</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11</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迈得医疗工业设备股份有限公司医用耗材智能装备建设项目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br w:type="textWrapping"/>
            </w:r>
            <w:r>
              <w:rPr>
                <w:rFonts w:ascii="Times New Roman" w:hAnsi="Times New Roman" w:eastAsia="宋体" w:cs="Times New Roman"/>
                <w:sz w:val="20"/>
                <w:szCs w:val="20"/>
              </w:rPr>
              <w:t>迈得医疗工业设备股份有限公司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br w:type="textWrapping"/>
            </w:r>
            <w:r>
              <w:rPr>
                <w:rFonts w:ascii="Times New Roman" w:hAnsi="Times New Roman" w:eastAsia="宋体" w:cs="Times New Roman"/>
                <w:sz w:val="20"/>
                <w:szCs w:val="20"/>
              </w:rPr>
              <w:t>本项目投资28500万元，建设医用耗材智能装备的生产基地，总建筑面积约80000平方米。项目主要建设内容包括购置先进生产设备四轴CNC、数控车床、激光切割机等设备，项目达产后将新增年产170台医用耗材智能装备，净利润8000万元。</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12</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高端数控机床扩能建设项目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浙江海德曼智能装备股份有限公司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建设40500平方米机床生产基地，购置国内国际先进生产设备，项目建成后形成年产900台高端数控机床的生产能力。</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2018—2021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13</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华能集团智慧电厂三期项目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华能国际电力股份有限公司玉环电厂</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投资80亿元建设三期工程，打造“未来智慧电厂”示范工程，通过运用全息感知、全景三维等数字化智能化技术，满足巡检、值班和DCS系统“三替代”要求，实现火电厂无人值班、少人值守的目标，促进能源革命和数字革命同频共振，引领全球未来数字能源发展。预计增加年产值约30亿元、税收3亿元以上。</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14</w:t>
            </w:r>
          </w:p>
        </w:tc>
        <w:tc>
          <w:tcPr>
            <w:tcW w:w="9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年产200万套工业用电机及控制系统生产线技改项目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琦星智能科技股份有限公司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投资8000万元，购置全自动贴片机、全电脑无铅波峰焊、离线AOI光学检测仪等国产设备，项目建成后形成年产200万套工业用电机及控制系统的生产能力，实现销售69000万，利税103.5万元。</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7"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15</w:t>
            </w:r>
          </w:p>
        </w:tc>
        <w:tc>
          <w:tcPr>
            <w:tcW w:w="93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年产15000吨城市交通装备及铁路配件技改项目</w:t>
            </w:r>
          </w:p>
        </w:tc>
        <w:tc>
          <w:tcPr>
            <w:tcW w:w="751"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东铁集团玉环大铁交通装备有限公司</w:t>
            </w:r>
          </w:p>
        </w:tc>
        <w:tc>
          <w:tcPr>
            <w:tcW w:w="2360"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br w:type="textWrapping"/>
            </w:r>
            <w:r>
              <w:rPr>
                <w:rFonts w:ascii="Times New Roman" w:hAnsi="Times New Roman" w:eastAsia="宋体" w:cs="Times New Roman"/>
                <w:sz w:val="20"/>
                <w:szCs w:val="20"/>
              </w:rPr>
              <w:t>投资32430万元，购买熔炼设备、树脂砂生产线、消失模生产线、硅溶胶精密铸造生产线、大型抛丸机、全自动高温热处理炉等设备。设备购置费及安装费12620万，总用地面积40356.58平方米，总建筑面积62776.14平方米，总产值3.2亿元。形成年产15000吨城市交通装备及铁路配件的生产能力，实现销售收入3.5亿元，利税3000万元。</w:t>
            </w:r>
          </w:p>
        </w:tc>
        <w:tc>
          <w:tcPr>
            <w:tcW w:w="700"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2020—2021</w:t>
            </w:r>
          </w:p>
        </w:tc>
      </w:tr>
    </w:tbl>
    <w:p>
      <w:pPr>
        <w:rPr>
          <w:rFonts w:ascii="Times New Roman" w:hAnsi="Times New Roman" w:eastAsia="宋体" w:cs="Times New Roman"/>
          <w:sz w:val="20"/>
          <w:szCs w:val="20"/>
        </w:rPr>
      </w:pPr>
    </w:p>
    <w:p>
      <w:pPr>
        <w:spacing w:line="360" w:lineRule="auto"/>
        <w:outlineLvl w:val="1"/>
        <w:rPr>
          <w:rFonts w:ascii="Times New Roman" w:hAnsi="Times New Roman" w:eastAsia="楷体_GB2312" w:cs="Times New Roman"/>
          <w:sz w:val="32"/>
          <w:szCs w:val="32"/>
        </w:rPr>
        <w:sectPr>
          <w:pgSz w:w="16838" w:h="11906" w:orient="landscape"/>
          <w:pgMar w:top="1800" w:right="1440" w:bottom="1800" w:left="1440" w:header="851" w:footer="992" w:gutter="0"/>
          <w:cols w:space="425" w:num="1"/>
          <w:docGrid w:type="lines" w:linePitch="312" w:charSpace="0"/>
        </w:sectPr>
      </w:pPr>
    </w:p>
    <w:p>
      <w:pPr>
        <w:spacing w:line="360" w:lineRule="auto"/>
        <w:jc w:val="center"/>
        <w:outlineLvl w:val="1"/>
        <w:rPr>
          <w:rFonts w:ascii="Times New Roman" w:hAnsi="Times New Roman" w:eastAsia="楷体_GB2312" w:cs="Times New Roman"/>
          <w:b/>
          <w:bCs/>
          <w:sz w:val="32"/>
          <w:szCs w:val="32"/>
        </w:rPr>
      </w:pPr>
      <w:bookmarkStart w:id="121" w:name="_Toc80366817"/>
      <w:r>
        <w:rPr>
          <w:rFonts w:ascii="Times New Roman" w:hAnsi="Times New Roman" w:eastAsia="楷体_GB2312" w:cs="Times New Roman"/>
          <w:b/>
          <w:bCs/>
          <w:sz w:val="32"/>
          <w:szCs w:val="32"/>
        </w:rPr>
        <w:t>附表2 ：“十四五”时期玉环市数字经济发展重点任务分解表</w:t>
      </w:r>
      <w:bookmarkEnd w:id="121"/>
    </w:p>
    <w:tbl>
      <w:tblPr>
        <w:tblStyle w:val="16"/>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39"/>
        <w:gridCol w:w="9300"/>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876" w:type="dxa"/>
            <w:shd w:val="clear" w:color="auto" w:fill="F2F2F2"/>
            <w:vAlign w:val="center"/>
          </w:tcPr>
          <w:p>
            <w:pPr>
              <w:pStyle w:val="3"/>
              <w:ind w:firstLine="0"/>
              <w:jc w:val="center"/>
              <w:rPr>
                <w:rFonts w:ascii="Times New Roman" w:hAnsi="Times New Roman" w:eastAsia="黑体" w:cs="Times New Roman"/>
                <w:sz w:val="22"/>
                <w:szCs w:val="22"/>
              </w:rPr>
            </w:pPr>
            <w:r>
              <w:rPr>
                <w:rFonts w:ascii="Times New Roman" w:hAnsi="Times New Roman" w:eastAsia="黑体" w:cs="Times New Roman"/>
                <w:sz w:val="22"/>
                <w:szCs w:val="22"/>
              </w:rPr>
              <w:t>序号</w:t>
            </w:r>
          </w:p>
        </w:tc>
        <w:tc>
          <w:tcPr>
            <w:tcW w:w="1839" w:type="dxa"/>
            <w:shd w:val="clear" w:color="auto" w:fill="F2F2F2"/>
            <w:vAlign w:val="center"/>
          </w:tcPr>
          <w:p>
            <w:pPr>
              <w:pStyle w:val="3"/>
              <w:ind w:firstLine="0"/>
              <w:jc w:val="center"/>
              <w:rPr>
                <w:rFonts w:ascii="Times New Roman" w:hAnsi="Times New Roman" w:eastAsia="黑体" w:cs="Times New Roman"/>
                <w:sz w:val="22"/>
                <w:szCs w:val="22"/>
              </w:rPr>
            </w:pPr>
            <w:r>
              <w:rPr>
                <w:rFonts w:ascii="Times New Roman" w:hAnsi="Times New Roman" w:eastAsia="黑体" w:cs="Times New Roman"/>
                <w:sz w:val="22"/>
                <w:szCs w:val="22"/>
              </w:rPr>
              <w:t>任务名称</w:t>
            </w:r>
          </w:p>
        </w:tc>
        <w:tc>
          <w:tcPr>
            <w:tcW w:w="9300" w:type="dxa"/>
            <w:shd w:val="clear" w:color="auto" w:fill="F2F2F2"/>
            <w:vAlign w:val="center"/>
          </w:tcPr>
          <w:p>
            <w:pPr>
              <w:pStyle w:val="3"/>
              <w:ind w:firstLine="0"/>
              <w:jc w:val="center"/>
              <w:rPr>
                <w:rFonts w:ascii="Times New Roman" w:hAnsi="Times New Roman" w:eastAsia="黑体" w:cs="Times New Roman"/>
                <w:sz w:val="22"/>
                <w:szCs w:val="22"/>
              </w:rPr>
            </w:pPr>
            <w:r>
              <w:rPr>
                <w:rFonts w:ascii="Times New Roman" w:hAnsi="Times New Roman" w:eastAsia="黑体" w:cs="Times New Roman"/>
                <w:sz w:val="22"/>
                <w:szCs w:val="22"/>
              </w:rPr>
              <w:t>建设内容</w:t>
            </w:r>
          </w:p>
        </w:tc>
        <w:tc>
          <w:tcPr>
            <w:tcW w:w="1933" w:type="dxa"/>
            <w:shd w:val="clear" w:color="auto" w:fill="F2F2F2"/>
            <w:vAlign w:val="center"/>
          </w:tcPr>
          <w:p>
            <w:pPr>
              <w:pStyle w:val="3"/>
              <w:ind w:firstLine="0"/>
              <w:jc w:val="center"/>
              <w:rPr>
                <w:rFonts w:ascii="Times New Roman" w:hAnsi="Times New Roman" w:eastAsia="黑体" w:cs="Times New Roman"/>
                <w:sz w:val="22"/>
                <w:szCs w:val="22"/>
              </w:rPr>
            </w:pPr>
            <w:r>
              <w:rPr>
                <w:rFonts w:ascii="Times New Roman" w:hAnsi="Times New Roman" w:eastAsia="黑体" w:cs="Times New Roman"/>
                <w:sz w:val="22"/>
                <w:szCs w:val="22"/>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紧扣数字产业“一张图”，构筑数字经济生态</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构建数字核心产业集群。</w:t>
            </w:r>
            <w:r>
              <w:rPr>
                <w:rFonts w:ascii="Times New Roman" w:hAnsi="Times New Roman" w:eastAsia="宋体" w:cs="Times New Roman"/>
                <w:sz w:val="20"/>
              </w:rPr>
              <w:t>着力培育壮大</w:t>
            </w:r>
            <w:r>
              <w:rPr>
                <w:rFonts w:hint="eastAsia" w:ascii="Times New Roman" w:hAnsi="Times New Roman" w:eastAsia="宋体" w:cs="Times New Roman"/>
                <w:sz w:val="20"/>
              </w:rPr>
              <w:t>电子信息</w:t>
            </w:r>
            <w:r>
              <w:rPr>
                <w:rFonts w:ascii="Times New Roman" w:hAnsi="Times New Roman" w:eastAsia="宋体" w:cs="Times New Roman"/>
                <w:sz w:val="20"/>
              </w:rPr>
              <w:t>、工业机器人产业，提升发展光伏产业，着力引进和培育人工智能、云计算、大数据、区块链、5G、高端软件等未来产业。</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市经信局、市投资促进中心、各乡镇（街道）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jc w:val="center"/>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实施产业链精准招引。</w:t>
            </w:r>
            <w:r>
              <w:rPr>
                <w:rFonts w:ascii="Times New Roman" w:hAnsi="Times New Roman" w:eastAsia="宋体" w:cs="Times New Roman"/>
                <w:sz w:val="20"/>
              </w:rPr>
              <w:t>分行业精准制定产业链招商地图。着力引进工业互联网、智能制造、数字化园区等领域的信息工程服务商。组建市数字经济产业</w:t>
            </w:r>
            <w:r>
              <w:rPr>
                <w:rFonts w:hint="eastAsia" w:ascii="Times New Roman" w:hAnsi="Times New Roman" w:eastAsia="宋体" w:cs="Times New Roman"/>
                <w:sz w:val="20"/>
              </w:rPr>
              <w:t>实体机构</w:t>
            </w:r>
            <w:r>
              <w:rPr>
                <w:rFonts w:ascii="Times New Roman" w:hAnsi="Times New Roman" w:eastAsia="宋体" w:cs="Times New Roman"/>
                <w:sz w:val="20"/>
              </w:rPr>
              <w:t>，支持利用产业招商顾问、创业创新大赛、以商引商、以才引企、大数据招商等模式，确保一批重大项目落地。</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市投资促进中心、市经信局、各乡镇（街道）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jc w:val="center"/>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构建数字经济企业梯队。</w:t>
            </w:r>
            <w:r>
              <w:rPr>
                <w:rFonts w:ascii="Times New Roman" w:hAnsi="Times New Roman" w:eastAsia="宋体" w:cs="Times New Roman"/>
                <w:sz w:val="20"/>
              </w:rPr>
              <w:t>实施领航企业“跨越计划”，确保对数字经济增加值贡献占比50%以上。实施“飞轮计划”，培育效益突出、增强潜力巨大的中小企业生态。支持创业创新小微企业升规发展，积极培育数字经济小微企业。</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市经信局、市科技局、市投资促进中心、各乡镇（街道）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jc w:val="center"/>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建设高能级产业平台。</w:t>
            </w:r>
            <w:r>
              <w:rPr>
                <w:rFonts w:ascii="Times New Roman" w:hAnsi="Times New Roman" w:eastAsia="宋体" w:cs="Times New Roman"/>
                <w:sz w:val="20"/>
              </w:rPr>
              <w:t>加快推进</w:t>
            </w:r>
            <w:r>
              <w:rPr>
                <w:rFonts w:hint="eastAsia" w:ascii="Times New Roman" w:hAnsi="Times New Roman" w:eastAsia="宋体" w:cs="Times New Roman"/>
                <w:sz w:val="20"/>
              </w:rPr>
              <w:t>玉环</w:t>
            </w:r>
            <w:r>
              <w:rPr>
                <w:rFonts w:ascii="Times New Roman" w:hAnsi="Times New Roman" w:eastAsia="宋体" w:cs="Times New Roman"/>
                <w:sz w:val="20"/>
              </w:rPr>
              <w:t>南湾</w:t>
            </w:r>
            <w:r>
              <w:rPr>
                <w:rFonts w:hint="eastAsia" w:ascii="Times New Roman" w:hAnsi="Times New Roman" w:eastAsia="宋体" w:cs="Times New Roman"/>
                <w:sz w:val="20"/>
                <w:lang w:eastAsia="zh-CN"/>
              </w:rPr>
              <w:t>智</w:t>
            </w:r>
            <w:r>
              <w:rPr>
                <w:rFonts w:ascii="Times New Roman" w:hAnsi="Times New Roman" w:eastAsia="宋体" w:cs="Times New Roman"/>
                <w:sz w:val="20"/>
              </w:rPr>
              <w:t>谷产业园、高端智能制造产业园等园区建设。</w:t>
            </w:r>
            <w:r>
              <w:rPr>
                <w:rFonts w:hint="eastAsia" w:ascii="Times New Roman" w:hAnsi="Times New Roman" w:eastAsia="宋体" w:cs="Times New Roman"/>
                <w:sz w:val="20"/>
              </w:rPr>
              <w:t>谋划建设玉环科创园、坎门里澳现代交通产业园等平台。</w:t>
            </w:r>
            <w:r>
              <w:rPr>
                <w:rFonts w:ascii="Times New Roman" w:hAnsi="Times New Roman" w:eastAsia="宋体" w:cs="Times New Roman"/>
                <w:sz w:val="20"/>
              </w:rPr>
              <w:t>按照“一平台一产业链一集群”的模式建设一批“专精特”的主题园区。在上海、深圳</w:t>
            </w:r>
            <w:r>
              <w:rPr>
                <w:rFonts w:hint="eastAsia" w:ascii="Times New Roman" w:hAnsi="Times New Roman" w:eastAsia="宋体" w:cs="Times New Roman"/>
                <w:sz w:val="20"/>
              </w:rPr>
              <w:t>、</w:t>
            </w:r>
            <w:r>
              <w:rPr>
                <w:rFonts w:ascii="Times New Roman" w:hAnsi="Times New Roman" w:eastAsia="宋体" w:cs="Times New Roman"/>
                <w:sz w:val="20"/>
              </w:rPr>
              <w:t>杭州、宁波、苏州等数字经济发达地区建设产业飞地。</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市发改局、市住建局、玉环经济开发区、</w:t>
            </w:r>
            <w:r>
              <w:rPr>
                <w:rFonts w:hint="eastAsia" w:ascii="Times New Roman" w:hAnsi="Times New Roman" w:eastAsia="宋体" w:cs="Times New Roman"/>
                <w:sz w:val="20"/>
              </w:rPr>
              <w:t xml:space="preserve"> 相关</w:t>
            </w:r>
            <w:r>
              <w:rPr>
                <w:rFonts w:ascii="Times New Roman" w:hAnsi="Times New Roman" w:eastAsia="宋体" w:cs="Times New Roman"/>
                <w:sz w:val="20"/>
              </w:rPr>
              <w:t>乡镇（街道）、市经信局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树立数字转型“一盘棋”，构筑赋能高质量生态</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推进制造集群数字化转型。</w:t>
            </w:r>
            <w:r>
              <w:rPr>
                <w:rFonts w:ascii="Times New Roman" w:hAnsi="Times New Roman" w:eastAsia="宋体" w:cs="Times New Roman"/>
                <w:sz w:val="20"/>
              </w:rPr>
              <w:t>实施“工赋玉环”行动，构建一批产业链级、行业级、企业级、特定环节工业互联网平台体系。实施智能制造2.0行动，培育一批智能工厂、数字化车间。推行个性化定制、网络化协同制造、服务型制造、共享制造等制造新模式。推广5G、人工智能等技术与装备产品技术融合。</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jc w:val="center"/>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培育数字化服务新业态。</w:t>
            </w:r>
            <w:r>
              <w:rPr>
                <w:rFonts w:ascii="Times New Roman" w:hAnsi="Times New Roman" w:eastAsia="宋体" w:cs="Times New Roman"/>
                <w:sz w:val="20"/>
              </w:rPr>
              <w:t>培育数字创意设计、工业设计</w:t>
            </w:r>
            <w:r>
              <w:rPr>
                <w:rFonts w:hint="eastAsia" w:ascii="Times New Roman" w:hAnsi="Times New Roman" w:eastAsia="宋体" w:cs="Times New Roman"/>
                <w:sz w:val="20"/>
                <w:lang w:eastAsia="zh-CN"/>
              </w:rPr>
              <w:t>。</w:t>
            </w:r>
            <w:r>
              <w:rPr>
                <w:rFonts w:ascii="Times New Roman" w:hAnsi="Times New Roman" w:eastAsia="宋体" w:cs="Times New Roman"/>
                <w:sz w:val="20"/>
              </w:rPr>
              <w:t>开展“移动支付之市”建设，推广移动支付。深化台州市跨境电商综试区玉环片区建设，大力发展数字贸易。建设玉环水暖阀门供应链平台</w:t>
            </w:r>
            <w:r>
              <w:rPr>
                <w:rFonts w:hint="eastAsia" w:ascii="Times New Roman" w:hAnsi="Times New Roman" w:eastAsia="宋体" w:cs="Times New Roman"/>
                <w:sz w:val="20"/>
                <w:lang w:eastAsia="zh-CN"/>
              </w:rPr>
              <w:t>，</w:t>
            </w:r>
            <w:r>
              <w:rPr>
                <w:rFonts w:ascii="Times New Roman" w:hAnsi="Times New Roman" w:eastAsia="宋体" w:cs="Times New Roman"/>
                <w:sz w:val="20"/>
              </w:rPr>
              <w:t>大力发展智能物流</w:t>
            </w:r>
            <w:r>
              <w:rPr>
                <w:rFonts w:hint="eastAsia" w:ascii="Times New Roman" w:hAnsi="Times New Roman" w:eastAsia="宋体" w:cs="Times New Roman"/>
                <w:sz w:val="20"/>
                <w:lang w:eastAsia="zh-CN"/>
              </w:rPr>
              <w:t>，</w:t>
            </w:r>
            <w:r>
              <w:rPr>
                <w:rFonts w:ascii="Times New Roman" w:hAnsi="Times New Roman" w:eastAsia="宋体" w:cs="Times New Roman"/>
                <w:sz w:val="20"/>
              </w:rPr>
              <w:t>发展智慧旅游形态。</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市发改局、市商务局、市经信局、市金融工作中心、市文广旅体局</w:t>
            </w:r>
            <w:r>
              <w:rPr>
                <w:rFonts w:hint="eastAsia" w:ascii="Times New Roman" w:hAnsi="Times New Roman" w:eastAsia="宋体" w:cs="Times New Roman"/>
                <w:sz w:val="20"/>
              </w:rPr>
              <w:t>、人民银行、市交通局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jc w:val="center"/>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发展特色高效数字农业。</w:t>
            </w:r>
            <w:r>
              <w:rPr>
                <w:rFonts w:ascii="Times New Roman" w:hAnsi="Times New Roman" w:eastAsia="宋体" w:cs="Times New Roman"/>
                <w:sz w:val="20"/>
              </w:rPr>
              <w:t xml:space="preserve">建设一批全省示范作用显著的数字农业示范基地（园区）。推进农业机械设备和农业生产设施数字化改造。培育“互联网+订单农业”，鼓励玉环柚、海产品等特色农副产品农业主体与盒马鲜生等平台合作。推进智慧农业大数据应用。完善数字渔业安全生产管理体系。 </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市农业农村水利局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rPr>
                <w:rFonts w:ascii="Times New Roman" w:hAnsi="Times New Roman" w:eastAsia="宋体" w:cs="Times New Roman"/>
                <w:sz w:val="20"/>
              </w:rPr>
            </w:pPr>
            <w:r>
              <w:rPr>
                <w:rFonts w:ascii="Times New Roman" w:hAnsi="Times New Roman" w:eastAsia="宋体" w:cs="Times New Roman"/>
                <w:sz w:val="20"/>
              </w:rPr>
              <w:t>培育倍增跨越“新动能”，构筑数字科创生态</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开展产业链协同创新。</w:t>
            </w:r>
            <w:r>
              <w:rPr>
                <w:rFonts w:ascii="Times New Roman" w:hAnsi="Times New Roman" w:eastAsia="宋体" w:cs="Times New Roman"/>
                <w:sz w:val="20"/>
              </w:rPr>
              <w:t xml:space="preserve">征集行业技术“攻关清单”。在伺服电机、控制器、智能制造系统等领域突破一批关键技术和共性技术，形成一批自主新产品。在工业机器人、数控机床等领域创建一批制造业创新中心。深化产学研合作，加快推进科技创新成果产业化。 </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市科技局、市经信局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推进创新载体建设。</w:t>
            </w:r>
            <w:r>
              <w:rPr>
                <w:rFonts w:ascii="Times New Roman" w:hAnsi="Times New Roman" w:eastAsia="宋体" w:cs="Times New Roman"/>
                <w:sz w:val="20"/>
              </w:rPr>
              <w:t>鼓励龙头骨干企业建设企业重点实验室、工程技术研究中心、省级（重点）企业研究院等载体建设。积极建设产业的标准、质量、计量、检测、认证、知识产权、共性技术研发等公共技术平台。</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市科技局、市经信局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开展新产品研发。</w:t>
            </w:r>
            <w:r>
              <w:rPr>
                <w:rFonts w:ascii="Times New Roman" w:hAnsi="Times New Roman" w:eastAsia="宋体" w:cs="Times New Roman"/>
                <w:sz w:val="20"/>
              </w:rPr>
              <w:t>大力发展智能、高附加值、引领消费的终端产品。重点在成套装备、嵌入式功率半导体、高性能减震设备、高磨损环境下的智能感知硬件、在线无损检测系统装备等新产品领域开展攻关。</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市经信局、市市场监管局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大力培育创新主体。</w:t>
            </w:r>
            <w:r>
              <w:rPr>
                <w:rFonts w:ascii="Times New Roman" w:hAnsi="Times New Roman" w:eastAsia="宋体" w:cs="Times New Roman"/>
                <w:sz w:val="20"/>
              </w:rPr>
              <w:t>深入实施高新技术企业“育苗造林”行动和科技型企业“双倍增”计划。</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市科技局、市经信局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rPr>
                <w:rFonts w:ascii="Times New Roman" w:hAnsi="Times New Roman" w:eastAsia="宋体" w:cs="Times New Roman"/>
                <w:sz w:val="20"/>
              </w:rPr>
            </w:pPr>
            <w:r>
              <w:rPr>
                <w:rFonts w:ascii="Times New Roman" w:hAnsi="Times New Roman" w:eastAsia="宋体" w:cs="Times New Roman"/>
                <w:sz w:val="20"/>
              </w:rPr>
              <w:t>织就数字精智“一张网”，构筑数字治理体系</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深化推进数据资源开放共享。</w:t>
            </w:r>
            <w:r>
              <w:rPr>
                <w:rFonts w:ascii="Times New Roman" w:hAnsi="Times New Roman" w:eastAsia="宋体" w:cs="Times New Roman"/>
                <w:sz w:val="20"/>
              </w:rPr>
              <w:t>探索制订地方级数据资源确权、流通和利用规则，率先形成数据资源玉环数据要素市场和地方性标准。在智慧城市领域开放一批数据资源，组织数据开放创新应用大赛。推动工业大数据发展。</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市大数据发展中心、市经信局、市科技局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深化推进“城市大脑”应用。</w:t>
            </w:r>
            <w:r>
              <w:rPr>
                <w:rFonts w:ascii="Times New Roman" w:hAnsi="Times New Roman" w:eastAsia="宋体" w:cs="Times New Roman"/>
                <w:sz w:val="20"/>
              </w:rPr>
              <w:t>加快建设“城市大脑”平台。加快推进“腾讯·玉环”新型智慧城市建设项目，加快建设一批多业务协同应用。聚焦玉环东风社区省级未来社区试点项目建设，高标准建设未来社区智慧服务平台。推进“交通治理能力现代化”试点建设，以综合交通信息指挥中心项目建设为重点，实现交通运输高度智慧化管理决策。</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市大数据发展中心、市交通运输局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深化政府数字化转型。</w:t>
            </w:r>
            <w:r>
              <w:rPr>
                <w:rFonts w:ascii="Times New Roman" w:hAnsi="Times New Roman" w:eastAsia="宋体" w:cs="Times New Roman"/>
                <w:sz w:val="20"/>
              </w:rPr>
              <w:t>全面推进机关内部“一件事”联办，谋划一批跨业务综合集成创新的标志性项目。推广应用玉环市“乐产码”企业综合服务平台，打造“妈妈式服务”升级版。</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市大数据发展中心、市行政服务中心、市经信局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rPr>
                <w:rFonts w:ascii="Times New Roman" w:hAnsi="Times New Roman" w:eastAsia="宋体" w:cs="Times New Roman"/>
                <w:sz w:val="20"/>
              </w:rPr>
            </w:pPr>
            <w:r>
              <w:rPr>
                <w:rFonts w:ascii="Times New Roman" w:hAnsi="Times New Roman" w:eastAsia="宋体" w:cs="Times New Roman"/>
                <w:sz w:val="20"/>
              </w:rPr>
              <w:t>拧紧开放链接“一股绳”，实施借力赶超工程</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构建开放融合的网络。</w:t>
            </w:r>
            <w:r>
              <w:rPr>
                <w:rFonts w:ascii="Times New Roman" w:hAnsi="Times New Roman" w:eastAsia="宋体" w:cs="Times New Roman"/>
                <w:sz w:val="20"/>
              </w:rPr>
              <w:t>加强与“一带一路”沿线地区合作，重点发展港口经济。深化推进全球精准合作，积极建设一批国际科技合作基地、海外创新孵化中心、企业海外研发机构等科技合作载体，搭建精准链接全球产业链资源的线上线下服务平台。充分利用玉环对台直航和浙江省首批对台小额贸易示范试点基地的优越性，积极申报创建海峡两岸（玉环）经贸合作区。</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市发改局、市港航口岸渔业局、浙台（玉环）经贸合作区、市投资促进中心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深度接轨数字长三角。</w:t>
            </w:r>
            <w:r>
              <w:rPr>
                <w:rFonts w:ascii="Times New Roman" w:hAnsi="Times New Roman" w:eastAsia="宋体" w:cs="Times New Roman"/>
                <w:sz w:val="20"/>
              </w:rPr>
              <w:t>全方位构建融入长三角区域一体化发展“8532”体系，围绕产业平台、科技创新、公共服务、交流合作等领域开展数字经济精准对接。强化长三角要素共建共享，对高端、紧缺人才和创新基础设施，实现企业、高校间共享共用。</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市发改局、市商务局、市投资促进中心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参与共建台州数字湾区。</w:t>
            </w:r>
            <w:r>
              <w:rPr>
                <w:rFonts w:ascii="Times New Roman" w:hAnsi="Times New Roman" w:eastAsia="宋体" w:cs="Times New Roman"/>
                <w:sz w:val="20"/>
              </w:rPr>
              <w:t>强化与乐清、温岭、洞头等乐清湾区域城市的交流合作。支持企业开展数字经济领域技术、生产、投资合作。参与推进台州市南部湾区、台州湾、北部湾区协同发展机制积极参与建设数字自贸区，联动提升台州数字湾区经济战略地位。</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市发改局、市投资促进中心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rPr>
                <w:rFonts w:ascii="Times New Roman" w:hAnsi="Times New Roman" w:eastAsia="宋体" w:cs="Times New Roman"/>
                <w:sz w:val="20"/>
              </w:rPr>
            </w:pPr>
            <w:r>
              <w:rPr>
                <w:rFonts w:ascii="Times New Roman" w:hAnsi="Times New Roman" w:eastAsia="宋体" w:cs="Times New Roman"/>
                <w:sz w:val="20"/>
              </w:rPr>
              <w:t>对表数字基建“一览表”，构筑数字基座体系</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加快5G部署和网络升级。</w:t>
            </w:r>
            <w:r>
              <w:rPr>
                <w:rFonts w:ascii="Times New Roman" w:hAnsi="Times New Roman" w:eastAsia="宋体" w:cs="Times New Roman"/>
                <w:sz w:val="20"/>
              </w:rPr>
              <w:t>落实5G基站建设“一件事”集成改革，到2025年累计建成5G基站1500个以上。加大公共资源开放力度。开展“智慧杆塔”5G微站试点建设。</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市经信局、市电信局、市移动公司、市联通公司、中国铁塔玉环分公司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部署先进数据中心建设。</w:t>
            </w:r>
            <w:r>
              <w:rPr>
                <w:rFonts w:ascii="Times New Roman" w:hAnsi="Times New Roman" w:eastAsia="宋体" w:cs="Times New Roman"/>
                <w:sz w:val="20"/>
              </w:rPr>
              <w:t>加快与腾讯公司合作，建设玉环智慧城市云数据中心。引导传统数据中心向集约化、绿色化、云化升级改造。深化推动“企业上云”。</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市大数据发展中心、市经信局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建设数字融合基础设施。</w:t>
            </w:r>
            <w:r>
              <w:rPr>
                <w:rFonts w:ascii="Times New Roman" w:hAnsi="Times New Roman" w:eastAsia="宋体" w:cs="Times New Roman"/>
                <w:sz w:val="20"/>
              </w:rPr>
              <w:t>加快推动交通、能源、商业、物流等传统基础设施数字化升级。规模化部署新能源充电桩。重点建设水暖阀门产业互联网区块链综合服务平台，持续谋划新建一批区块链大数据共享、协同、管控平台，赋能产业转型升级。</w:t>
            </w:r>
          </w:p>
        </w:tc>
        <w:tc>
          <w:tcPr>
            <w:tcW w:w="1933" w:type="dxa"/>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市大数据发展中心、市经信局、市交通运输局、市城建集团等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b/>
                <w:bCs/>
                <w:sz w:val="20"/>
              </w:rPr>
            </w:pPr>
            <w:r>
              <w:rPr>
                <w:rFonts w:hint="eastAsia" w:ascii="Times New Roman" w:hAnsi="Times New Roman" w:eastAsia="宋体" w:cs="Times New Roman"/>
                <w:b/>
                <w:bCs/>
                <w:sz w:val="20"/>
              </w:rPr>
              <w:t>夯实信息安全基石。</w:t>
            </w:r>
            <w:r>
              <w:rPr>
                <w:rFonts w:hint="eastAsia" w:ascii="Times New Roman" w:hAnsi="Times New Roman" w:eastAsia="宋体" w:cs="Times New Roman"/>
                <w:sz w:val="20"/>
              </w:rPr>
              <w:t>贯彻落实《关键信息基础设施安全保护条例》。落实网络安全等级保护</w:t>
            </w:r>
            <w:r>
              <w:rPr>
                <w:rFonts w:ascii="Times New Roman" w:hAnsi="Times New Roman" w:eastAsia="宋体" w:cs="Times New Roman"/>
                <w:sz w:val="20"/>
              </w:rPr>
              <w:t>2.0、涉密网络分级保护、商用密码应用安全评估等工作。建立健全数据安全管理制度，推广数据分类分级保护制度。落实个人信息保护制度规范，强化利用公民隐私从事商业活动的监督和约束。</w:t>
            </w:r>
          </w:p>
        </w:tc>
        <w:tc>
          <w:tcPr>
            <w:tcW w:w="1933" w:type="dxa"/>
            <w:vAlign w:val="center"/>
          </w:tcPr>
          <w:p>
            <w:pPr>
              <w:pStyle w:val="3"/>
              <w:ind w:firstLine="0"/>
              <w:rPr>
                <w:rFonts w:hint="eastAsia" w:ascii="Times New Roman" w:hAnsi="Times New Roman" w:eastAsia="宋体" w:cs="Times New Roman"/>
                <w:sz w:val="20"/>
              </w:rPr>
            </w:pPr>
            <w:r>
              <w:rPr>
                <w:rFonts w:hint="eastAsia" w:ascii="Times New Roman" w:hAnsi="Times New Roman" w:eastAsia="宋体" w:cs="Times New Roman"/>
                <w:sz w:val="20"/>
              </w:rPr>
              <w:t>市经信局、市公安局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restart"/>
            <w:vAlign w:val="center"/>
          </w:tcPr>
          <w:p>
            <w:pPr>
              <w:pStyle w:val="3"/>
              <w:ind w:firstLine="0"/>
              <w:jc w:val="center"/>
              <w:rPr>
                <w:rFonts w:ascii="Times New Roman" w:hAnsi="Times New Roman" w:eastAsia="宋体" w:cs="Times New Roman"/>
                <w:sz w:val="20"/>
              </w:rPr>
            </w:pPr>
            <w:r>
              <w:rPr>
                <w:rFonts w:ascii="Times New Roman" w:hAnsi="Times New Roman" w:eastAsia="宋体" w:cs="Times New Roman"/>
                <w:sz w:val="20"/>
              </w:rPr>
              <w:t>保障措施</w:t>
            </w: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健全精准政策支持体系。</w:t>
            </w:r>
            <w:r>
              <w:rPr>
                <w:rFonts w:ascii="Times New Roman" w:hAnsi="Times New Roman" w:eastAsia="宋体" w:cs="Times New Roman"/>
                <w:sz w:val="20"/>
              </w:rPr>
              <w:t>用好用足“美丽经济”大政策，研究支持数字经济核心产业集群培育的专项政策和产品服务在地应用政策，建立数字经济政策绩效评价制度。建立财政资金“容忍”机制，建立数字经济重点产业领域招商“容错”机制。争取省级工业和信息化领域的财政专项支持，协调争取省数字经济产业投资基金、国家集成电路产业投资基金等的倾斜支持。</w:t>
            </w:r>
          </w:p>
        </w:tc>
        <w:tc>
          <w:tcPr>
            <w:tcW w:w="1933"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构建全要素保障体系。</w:t>
            </w:r>
            <w:r>
              <w:rPr>
                <w:rFonts w:ascii="Times New Roman" w:hAnsi="Times New Roman" w:eastAsia="宋体" w:cs="Times New Roman"/>
                <w:sz w:val="20"/>
              </w:rPr>
              <w:t>优先保障数字经济项目用地，盘活低效再开发用地。深化推进“区域环评+环境标准”改革。建立多通道的产融合作机制，设立市数字经济发展投资引导基金。建立数字经济企业股改和上市企业培育库。合作共建银企合作对接平台。构建数字技术人才引培网络，实施“数字菁英”引才计划。开展“工学交替”改革。建设信息技术领域的工程师协同创新中心，实施“数字金蓝领”“数字工匠”“数字工程师”职业技能提升加速工程。探索数字经济企业开展高层次人才自主评价、职业技能等级认定。</w:t>
            </w:r>
          </w:p>
        </w:tc>
        <w:tc>
          <w:tcPr>
            <w:tcW w:w="1933"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确立极优的发展环境。</w:t>
            </w:r>
            <w:r>
              <w:rPr>
                <w:rFonts w:ascii="Times New Roman" w:hAnsi="Times New Roman" w:eastAsia="宋体" w:cs="Times New Roman"/>
                <w:sz w:val="20"/>
              </w:rPr>
              <w:t>构建企业服务便利化通道，建立数字经济企业政策通兑云平台。深化项目推进机制改革。全面落实企业投资项目全程审批“最多30天”要求。推进重点项目“一站式、代办式”服务。营造活跃开放的发展氛围。举办产业数字化现场会、专题研修培训与对标考察，举办好年度科技活动周，提升企业积极性和参与度。</w:t>
            </w:r>
          </w:p>
        </w:tc>
        <w:tc>
          <w:tcPr>
            <w:tcW w:w="1933"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76" w:type="dxa"/>
            <w:vAlign w:val="center"/>
          </w:tcPr>
          <w:p>
            <w:pPr>
              <w:pStyle w:val="3"/>
              <w:numPr>
                <w:ilvl w:val="0"/>
                <w:numId w:val="1"/>
              </w:numPr>
              <w:ind w:firstLine="0"/>
              <w:jc w:val="center"/>
              <w:rPr>
                <w:rFonts w:ascii="Times New Roman" w:hAnsi="Times New Roman" w:eastAsia="宋体" w:cs="Times New Roman"/>
                <w:sz w:val="20"/>
              </w:rPr>
            </w:pPr>
          </w:p>
        </w:tc>
        <w:tc>
          <w:tcPr>
            <w:tcW w:w="1839" w:type="dxa"/>
            <w:vMerge w:val="continue"/>
            <w:vAlign w:val="center"/>
          </w:tcPr>
          <w:p>
            <w:pPr>
              <w:pStyle w:val="3"/>
              <w:ind w:firstLine="0"/>
              <w:rPr>
                <w:rFonts w:ascii="Times New Roman" w:hAnsi="Times New Roman" w:eastAsia="宋体" w:cs="Times New Roman"/>
                <w:sz w:val="20"/>
              </w:rPr>
            </w:pPr>
          </w:p>
        </w:tc>
        <w:tc>
          <w:tcPr>
            <w:tcW w:w="9300" w:type="dxa"/>
            <w:vAlign w:val="center"/>
          </w:tcPr>
          <w:p>
            <w:pPr>
              <w:pStyle w:val="3"/>
              <w:ind w:firstLine="402" w:firstLineChars="200"/>
              <w:rPr>
                <w:rFonts w:ascii="Times New Roman" w:hAnsi="Times New Roman" w:eastAsia="宋体" w:cs="Times New Roman"/>
                <w:sz w:val="20"/>
              </w:rPr>
            </w:pPr>
            <w:r>
              <w:rPr>
                <w:rFonts w:ascii="Times New Roman" w:hAnsi="Times New Roman" w:eastAsia="宋体" w:cs="Times New Roman"/>
                <w:b/>
                <w:bCs/>
                <w:sz w:val="20"/>
              </w:rPr>
              <w:t>建立强力组织实施机制。</w:t>
            </w:r>
            <w:r>
              <w:rPr>
                <w:rFonts w:ascii="Times New Roman" w:hAnsi="Times New Roman" w:eastAsia="宋体" w:cs="Times New Roman"/>
                <w:sz w:val="20"/>
              </w:rPr>
              <w:t xml:space="preserve">强化提升组织领导体系。建立由市主要领导参加的专题例会制度。强化规划实施动态监测。长期性实质性提升认识，建立专题培训和对标考察制度。建立政府数字经济顾问制度。 </w:t>
            </w:r>
          </w:p>
        </w:tc>
        <w:tc>
          <w:tcPr>
            <w:tcW w:w="1933"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Cs w:val="21"/>
              </w:rPr>
              <w:t>—</w:t>
            </w:r>
          </w:p>
        </w:tc>
      </w:tr>
    </w:tbl>
    <w:p>
      <w:pPr>
        <w:pStyle w:val="3"/>
        <w:ind w:firstLine="0"/>
        <w:rPr>
          <w:rFonts w:ascii="Times New Roman" w:hAnsi="Times New Roman" w:eastAsia="宋体" w:cs="Times New Roman"/>
          <w:sz w:val="20"/>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5772CB-A4D1-458B-A54F-C8C06C554923}"/>
  </w:font>
  <w:font w:name="Arial">
    <w:panose1 w:val="020B0604020202020204"/>
    <w:charset w:val="01"/>
    <w:family w:val="swiss"/>
    <w:pitch w:val="default"/>
    <w:sig w:usb0="E0002EFF" w:usb1="C000785B" w:usb2="00000009" w:usb3="00000000" w:csb0="400001FF" w:csb1="FFFF0000"/>
    <w:embedRegular r:id="rId2" w:fontKey="{81B01FA2-9887-44B3-B010-4F5FB87E03BA}"/>
  </w:font>
  <w:font w:name="黑体">
    <w:panose1 w:val="02010609060101010101"/>
    <w:charset w:val="86"/>
    <w:family w:val="auto"/>
    <w:pitch w:val="default"/>
    <w:sig w:usb0="800002BF" w:usb1="38CF7CFA" w:usb2="00000016" w:usb3="00000000" w:csb0="00040001" w:csb1="00000000"/>
    <w:embedRegular r:id="rId3" w:fontKey="{FA0D18E6-8DF9-491F-BC4A-DC7670DF9BD7}"/>
  </w:font>
  <w:font w:name="Courier New">
    <w:panose1 w:val="02070309020205020404"/>
    <w:charset w:val="01"/>
    <w:family w:val="modern"/>
    <w:pitch w:val="default"/>
    <w:sig w:usb0="E0002EFF" w:usb1="C0007843" w:usb2="00000009" w:usb3="00000000" w:csb0="400001FF" w:csb1="FFFF0000"/>
    <w:embedRegular r:id="rId4" w:fontKey="{86DA6C6D-B39D-4304-99D7-07215579656D}"/>
  </w:font>
  <w:font w:name="Symbol">
    <w:panose1 w:val="05050102010706020507"/>
    <w:charset w:val="02"/>
    <w:family w:val="roman"/>
    <w:pitch w:val="default"/>
    <w:sig w:usb0="00000000" w:usb1="00000000" w:usb2="00000000" w:usb3="00000000" w:csb0="80000000" w:csb1="00000000"/>
    <w:embedRegular r:id="rId5" w:fontKey="{7DB74C63-B397-48B1-9CCD-7D97495AE814}"/>
  </w:font>
  <w:font w:name="Calibri">
    <w:panose1 w:val="020F0502020204030204"/>
    <w:charset w:val="00"/>
    <w:family w:val="swiss"/>
    <w:pitch w:val="default"/>
    <w:sig w:usb0="E4002EFF" w:usb1="C000247B" w:usb2="00000009" w:usb3="00000000" w:csb0="200001FF" w:csb1="00000000"/>
    <w:embedRegular r:id="rId6" w:fontKey="{B8D3F664-AA48-43E3-B4FA-CDBEF51636E2}"/>
  </w:font>
  <w:font w:name="等线">
    <w:panose1 w:val="02010600030101010101"/>
    <w:charset w:val="86"/>
    <w:family w:val="auto"/>
    <w:pitch w:val="default"/>
    <w:sig w:usb0="A00002BF" w:usb1="38CF7CFA" w:usb2="00000016" w:usb3="00000000" w:csb0="0004000F" w:csb1="00000000"/>
    <w:embedRegular r:id="rId7" w:fontKey="{750D01AB-C327-400C-8F2C-699B30C0892A}"/>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8" w:fontKey="{CC98B214-96EA-4C13-8549-F99984696757}"/>
  </w:font>
  <w:font w:name="仿宋_GB2312">
    <w:panose1 w:val="02010609030101010101"/>
    <w:charset w:val="86"/>
    <w:family w:val="modern"/>
    <w:pitch w:val="default"/>
    <w:sig w:usb0="00000001" w:usb1="080E0000" w:usb2="00000000" w:usb3="00000000" w:csb0="00040000" w:csb1="00000000"/>
    <w:embedRegular r:id="rId9" w:fontKey="{2B6FF616-B046-4FA1-9C41-0B47DEEF9B8F}"/>
  </w:font>
  <w:font w:name="等线 Light">
    <w:panose1 w:val="02010600030101010101"/>
    <w:charset w:val="86"/>
    <w:family w:val="auto"/>
    <w:pitch w:val="default"/>
    <w:sig w:usb0="A00002BF" w:usb1="38CF7CFA" w:usb2="00000016" w:usb3="00000000" w:csb0="0004000F" w:csb1="00000000"/>
  </w:font>
  <w:font w:name="方正粗黑宋简体">
    <w:panose1 w:val="02000000000000000000"/>
    <w:charset w:val="86"/>
    <w:family w:val="auto"/>
    <w:pitch w:val="default"/>
    <w:sig w:usb0="A00002BF" w:usb1="184F6CFA" w:usb2="00000012" w:usb3="00000000" w:csb0="00040001" w:csb1="00000000"/>
    <w:embedRegular r:id="rId10" w:fontKey="{7D029B3A-7325-46C4-90DB-36E778278F3E}"/>
  </w:font>
  <w:font w:name="微软雅黑">
    <w:panose1 w:val="020B0503020204020204"/>
    <w:charset w:val="86"/>
    <w:family w:val="swiss"/>
    <w:pitch w:val="default"/>
    <w:sig w:usb0="80000287" w:usb1="2ACF3C50" w:usb2="00000016" w:usb3="00000000" w:csb0="0004001F" w:csb1="00000000"/>
    <w:embedRegular r:id="rId11" w:fontKey="{6748C65D-AE9C-4BA1-A224-FF398FF6D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3591376"/>
    </w:sdtPr>
    <w:sdtEndPr>
      <w:rPr>
        <w:rFonts w:ascii="Times New Roman" w:hAnsi="Times New Roman" w:cs="Times New Roman"/>
      </w:rPr>
    </w:sdtEndPr>
    <w:sdtContent>
      <w:p>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7300910"/>
    </w:sdtPr>
    <w:sdtEndPr>
      <w:rPr>
        <w:rFonts w:ascii="宋体" w:hAnsi="宋体" w:eastAsia="宋体"/>
      </w:rPr>
    </w:sdtEndPr>
    <w:sdtContent>
      <w:p>
        <w:pPr>
          <w:pStyle w:val="9"/>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24</w:t>
        </w:r>
        <w:r>
          <w:rPr>
            <w:rFonts w:ascii="宋体" w:hAnsi="宋体" w:eastAsia="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2"/>
        <w:rPr>
          <w:rFonts w:ascii="宋体" w:hAnsi="宋体" w:eastAsia="宋体"/>
        </w:rPr>
      </w:pPr>
      <w:r>
        <w:rPr>
          <w:rStyle w:val="23"/>
          <w:rFonts w:ascii="宋体" w:hAnsi="宋体" w:eastAsia="宋体"/>
        </w:rPr>
        <w:footnoteRef/>
      </w:r>
      <w:r>
        <w:rPr>
          <w:rFonts w:ascii="宋体" w:hAnsi="宋体" w:eastAsia="宋体"/>
        </w:rPr>
        <w:t xml:space="preserve"> </w:t>
      </w:r>
      <w:r>
        <w:rPr>
          <w:rFonts w:hint="eastAsia" w:ascii="宋体" w:hAnsi="宋体" w:eastAsia="宋体"/>
        </w:rPr>
        <w:t>《玉环市推进长三角区域一体化发展行动计划（2020-2035）》提出构建“8532”体系，即围绕8大重要任务，实施5大对接工程，推进32项年度重点任务。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C577EF"/>
    <w:multiLevelType w:val="singleLevel"/>
    <w:tmpl w:val="B8C577EF"/>
    <w:lvl w:ilvl="0" w:tentative="0">
      <w:start w:val="1"/>
      <w:numFmt w:val="decimal"/>
      <w:lvlText w:val="%1"/>
      <w:lvlJc w:val="left"/>
      <w:pPr>
        <w:tabs>
          <w:tab w:val="left" w:pos="312"/>
        </w:tabs>
      </w:pPr>
      <w:rPr>
        <w:rFonts w:hint="default" w:ascii="宋体" w:hAnsi="宋体" w:eastAsia="宋体" w:cs="Courier New"/>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wMmU0ZjI5YTlhZDMyZmY1YWQ0YWU1ZTk5NzE0MTAifQ=="/>
  </w:docVars>
  <w:rsids>
    <w:rsidRoot w:val="00CA1F8A"/>
    <w:rsid w:val="000000C2"/>
    <w:rsid w:val="00000140"/>
    <w:rsid w:val="00000BEB"/>
    <w:rsid w:val="00002659"/>
    <w:rsid w:val="00007458"/>
    <w:rsid w:val="00007F3E"/>
    <w:rsid w:val="000114E0"/>
    <w:rsid w:val="00012C9F"/>
    <w:rsid w:val="00013C93"/>
    <w:rsid w:val="00015CC4"/>
    <w:rsid w:val="00016EDC"/>
    <w:rsid w:val="00020F00"/>
    <w:rsid w:val="0002356F"/>
    <w:rsid w:val="00025A1A"/>
    <w:rsid w:val="00027B0F"/>
    <w:rsid w:val="0003131B"/>
    <w:rsid w:val="00031DCE"/>
    <w:rsid w:val="000321EB"/>
    <w:rsid w:val="000344AD"/>
    <w:rsid w:val="0003468A"/>
    <w:rsid w:val="00034AA9"/>
    <w:rsid w:val="00034B8A"/>
    <w:rsid w:val="00036CAD"/>
    <w:rsid w:val="000418A4"/>
    <w:rsid w:val="00042321"/>
    <w:rsid w:val="00042C8B"/>
    <w:rsid w:val="00043BA8"/>
    <w:rsid w:val="000443AA"/>
    <w:rsid w:val="000447F7"/>
    <w:rsid w:val="00046CD6"/>
    <w:rsid w:val="0004776A"/>
    <w:rsid w:val="00053902"/>
    <w:rsid w:val="00056ABC"/>
    <w:rsid w:val="00056D03"/>
    <w:rsid w:val="00056DB2"/>
    <w:rsid w:val="00060F2B"/>
    <w:rsid w:val="000610CA"/>
    <w:rsid w:val="00061158"/>
    <w:rsid w:val="00061D3D"/>
    <w:rsid w:val="00063270"/>
    <w:rsid w:val="00064197"/>
    <w:rsid w:val="000671AE"/>
    <w:rsid w:val="000702F8"/>
    <w:rsid w:val="00072589"/>
    <w:rsid w:val="00073339"/>
    <w:rsid w:val="00074349"/>
    <w:rsid w:val="000759EF"/>
    <w:rsid w:val="00075E15"/>
    <w:rsid w:val="0007772D"/>
    <w:rsid w:val="00077DA6"/>
    <w:rsid w:val="0008371B"/>
    <w:rsid w:val="000837AE"/>
    <w:rsid w:val="00084405"/>
    <w:rsid w:val="000847B6"/>
    <w:rsid w:val="00084B42"/>
    <w:rsid w:val="00087FC8"/>
    <w:rsid w:val="000924D6"/>
    <w:rsid w:val="000936D2"/>
    <w:rsid w:val="000944C6"/>
    <w:rsid w:val="00096174"/>
    <w:rsid w:val="0009655A"/>
    <w:rsid w:val="000966D1"/>
    <w:rsid w:val="000A005E"/>
    <w:rsid w:val="000A1A3D"/>
    <w:rsid w:val="000A1AD9"/>
    <w:rsid w:val="000A49C0"/>
    <w:rsid w:val="000A61EC"/>
    <w:rsid w:val="000A6F7A"/>
    <w:rsid w:val="000A7CC1"/>
    <w:rsid w:val="000B0A0F"/>
    <w:rsid w:val="000B0D0F"/>
    <w:rsid w:val="000B2D57"/>
    <w:rsid w:val="000B3AD2"/>
    <w:rsid w:val="000B4233"/>
    <w:rsid w:val="000B45ED"/>
    <w:rsid w:val="000B56A2"/>
    <w:rsid w:val="000B6AAA"/>
    <w:rsid w:val="000B6EB4"/>
    <w:rsid w:val="000B727C"/>
    <w:rsid w:val="000C02D5"/>
    <w:rsid w:val="000C11BB"/>
    <w:rsid w:val="000C1911"/>
    <w:rsid w:val="000C20EC"/>
    <w:rsid w:val="000C3D14"/>
    <w:rsid w:val="000C5395"/>
    <w:rsid w:val="000C5C7E"/>
    <w:rsid w:val="000D2BBE"/>
    <w:rsid w:val="000D42B8"/>
    <w:rsid w:val="000E0C17"/>
    <w:rsid w:val="000E108B"/>
    <w:rsid w:val="000E1359"/>
    <w:rsid w:val="000E181A"/>
    <w:rsid w:val="000E2C12"/>
    <w:rsid w:val="000E3763"/>
    <w:rsid w:val="000E4FAF"/>
    <w:rsid w:val="000E5676"/>
    <w:rsid w:val="000E56EB"/>
    <w:rsid w:val="000E5ABB"/>
    <w:rsid w:val="000E6060"/>
    <w:rsid w:val="000F106A"/>
    <w:rsid w:val="000F10CA"/>
    <w:rsid w:val="000F1411"/>
    <w:rsid w:val="000F1764"/>
    <w:rsid w:val="000F376B"/>
    <w:rsid w:val="000F479A"/>
    <w:rsid w:val="000F6BFF"/>
    <w:rsid w:val="000F7149"/>
    <w:rsid w:val="0010089D"/>
    <w:rsid w:val="001019F7"/>
    <w:rsid w:val="0010291B"/>
    <w:rsid w:val="00102995"/>
    <w:rsid w:val="001054A7"/>
    <w:rsid w:val="00106782"/>
    <w:rsid w:val="001105AE"/>
    <w:rsid w:val="001109B5"/>
    <w:rsid w:val="00112E31"/>
    <w:rsid w:val="0011311E"/>
    <w:rsid w:val="00114F0B"/>
    <w:rsid w:val="00115954"/>
    <w:rsid w:val="00116CAA"/>
    <w:rsid w:val="001178B8"/>
    <w:rsid w:val="0012302B"/>
    <w:rsid w:val="001238CB"/>
    <w:rsid w:val="00123F66"/>
    <w:rsid w:val="00125F01"/>
    <w:rsid w:val="001317F8"/>
    <w:rsid w:val="001323C3"/>
    <w:rsid w:val="00133935"/>
    <w:rsid w:val="001361AC"/>
    <w:rsid w:val="001367E7"/>
    <w:rsid w:val="00136A60"/>
    <w:rsid w:val="00136D93"/>
    <w:rsid w:val="00141788"/>
    <w:rsid w:val="00141F99"/>
    <w:rsid w:val="00142C16"/>
    <w:rsid w:val="00144A64"/>
    <w:rsid w:val="00144C6D"/>
    <w:rsid w:val="001461DE"/>
    <w:rsid w:val="00146799"/>
    <w:rsid w:val="0014723C"/>
    <w:rsid w:val="00152757"/>
    <w:rsid w:val="0015317F"/>
    <w:rsid w:val="00153381"/>
    <w:rsid w:val="00153F77"/>
    <w:rsid w:val="00155322"/>
    <w:rsid w:val="00155F8C"/>
    <w:rsid w:val="00157B56"/>
    <w:rsid w:val="0016087B"/>
    <w:rsid w:val="00161628"/>
    <w:rsid w:val="00167C35"/>
    <w:rsid w:val="0017094D"/>
    <w:rsid w:val="00174FCA"/>
    <w:rsid w:val="00175C21"/>
    <w:rsid w:val="001761ED"/>
    <w:rsid w:val="00176DA9"/>
    <w:rsid w:val="00176DB5"/>
    <w:rsid w:val="001773C2"/>
    <w:rsid w:val="00184EF3"/>
    <w:rsid w:val="00184F8A"/>
    <w:rsid w:val="00187752"/>
    <w:rsid w:val="001915C9"/>
    <w:rsid w:val="0019244D"/>
    <w:rsid w:val="001926C8"/>
    <w:rsid w:val="0019534A"/>
    <w:rsid w:val="00195EB0"/>
    <w:rsid w:val="001970CD"/>
    <w:rsid w:val="00197320"/>
    <w:rsid w:val="001A25C5"/>
    <w:rsid w:val="001A4094"/>
    <w:rsid w:val="001A5ECE"/>
    <w:rsid w:val="001A64FE"/>
    <w:rsid w:val="001A6F58"/>
    <w:rsid w:val="001B071D"/>
    <w:rsid w:val="001B3716"/>
    <w:rsid w:val="001B3FC1"/>
    <w:rsid w:val="001B5EF5"/>
    <w:rsid w:val="001B656A"/>
    <w:rsid w:val="001C0290"/>
    <w:rsid w:val="001C0E98"/>
    <w:rsid w:val="001C31BF"/>
    <w:rsid w:val="001C3549"/>
    <w:rsid w:val="001C5675"/>
    <w:rsid w:val="001D0C8C"/>
    <w:rsid w:val="001D2939"/>
    <w:rsid w:val="001D3F6F"/>
    <w:rsid w:val="001D4792"/>
    <w:rsid w:val="001D48C5"/>
    <w:rsid w:val="001D4F43"/>
    <w:rsid w:val="001D5C15"/>
    <w:rsid w:val="001D6C6E"/>
    <w:rsid w:val="001E027E"/>
    <w:rsid w:val="001E04D6"/>
    <w:rsid w:val="001E09BA"/>
    <w:rsid w:val="001E3DB9"/>
    <w:rsid w:val="001E4951"/>
    <w:rsid w:val="001E512E"/>
    <w:rsid w:val="001E5F3F"/>
    <w:rsid w:val="001E693F"/>
    <w:rsid w:val="001E71DF"/>
    <w:rsid w:val="001F41A3"/>
    <w:rsid w:val="001F5B3C"/>
    <w:rsid w:val="0020135B"/>
    <w:rsid w:val="002026AD"/>
    <w:rsid w:val="00205776"/>
    <w:rsid w:val="00205CF0"/>
    <w:rsid w:val="002105D2"/>
    <w:rsid w:val="002134B0"/>
    <w:rsid w:val="0021397E"/>
    <w:rsid w:val="0021765D"/>
    <w:rsid w:val="002202AB"/>
    <w:rsid w:val="002207A8"/>
    <w:rsid w:val="00220922"/>
    <w:rsid w:val="0022559A"/>
    <w:rsid w:val="00226173"/>
    <w:rsid w:val="002262B9"/>
    <w:rsid w:val="0022706B"/>
    <w:rsid w:val="00232309"/>
    <w:rsid w:val="00233460"/>
    <w:rsid w:val="002358C2"/>
    <w:rsid w:val="00237A18"/>
    <w:rsid w:val="00241515"/>
    <w:rsid w:val="002432CF"/>
    <w:rsid w:val="002459B5"/>
    <w:rsid w:val="00246053"/>
    <w:rsid w:val="00246A69"/>
    <w:rsid w:val="0024789C"/>
    <w:rsid w:val="00247D28"/>
    <w:rsid w:val="00254811"/>
    <w:rsid w:val="00256231"/>
    <w:rsid w:val="002600D6"/>
    <w:rsid w:val="00260D05"/>
    <w:rsid w:val="0026423D"/>
    <w:rsid w:val="0026573B"/>
    <w:rsid w:val="00265817"/>
    <w:rsid w:val="00265C84"/>
    <w:rsid w:val="00265E9B"/>
    <w:rsid w:val="00272899"/>
    <w:rsid w:val="002803D5"/>
    <w:rsid w:val="002827E3"/>
    <w:rsid w:val="00282E04"/>
    <w:rsid w:val="00283B6C"/>
    <w:rsid w:val="00284914"/>
    <w:rsid w:val="00284E3F"/>
    <w:rsid w:val="00285BB1"/>
    <w:rsid w:val="0028670A"/>
    <w:rsid w:val="00286FED"/>
    <w:rsid w:val="002878AF"/>
    <w:rsid w:val="00287B6B"/>
    <w:rsid w:val="00290115"/>
    <w:rsid w:val="00291BDC"/>
    <w:rsid w:val="002929D6"/>
    <w:rsid w:val="002930C1"/>
    <w:rsid w:val="002A17EA"/>
    <w:rsid w:val="002A3638"/>
    <w:rsid w:val="002A5063"/>
    <w:rsid w:val="002A67B8"/>
    <w:rsid w:val="002A762F"/>
    <w:rsid w:val="002A7CDF"/>
    <w:rsid w:val="002B156A"/>
    <w:rsid w:val="002B2719"/>
    <w:rsid w:val="002B2806"/>
    <w:rsid w:val="002B28CF"/>
    <w:rsid w:val="002B3026"/>
    <w:rsid w:val="002B57B4"/>
    <w:rsid w:val="002B6786"/>
    <w:rsid w:val="002B7604"/>
    <w:rsid w:val="002C0515"/>
    <w:rsid w:val="002C3491"/>
    <w:rsid w:val="002C473A"/>
    <w:rsid w:val="002C4883"/>
    <w:rsid w:val="002C4A82"/>
    <w:rsid w:val="002C4D9C"/>
    <w:rsid w:val="002C52F9"/>
    <w:rsid w:val="002D21F7"/>
    <w:rsid w:val="002D6456"/>
    <w:rsid w:val="002D6B0A"/>
    <w:rsid w:val="002E007B"/>
    <w:rsid w:val="002E035F"/>
    <w:rsid w:val="002E0857"/>
    <w:rsid w:val="002E1F78"/>
    <w:rsid w:val="002E301B"/>
    <w:rsid w:val="002E3A1A"/>
    <w:rsid w:val="002E4F0D"/>
    <w:rsid w:val="002E542F"/>
    <w:rsid w:val="002E5647"/>
    <w:rsid w:val="002E7C4C"/>
    <w:rsid w:val="002F1251"/>
    <w:rsid w:val="002F4955"/>
    <w:rsid w:val="002F4CCC"/>
    <w:rsid w:val="002F5F13"/>
    <w:rsid w:val="002F6730"/>
    <w:rsid w:val="002F72CB"/>
    <w:rsid w:val="002F7A50"/>
    <w:rsid w:val="003023D9"/>
    <w:rsid w:val="003028E8"/>
    <w:rsid w:val="0030322E"/>
    <w:rsid w:val="00304128"/>
    <w:rsid w:val="00304247"/>
    <w:rsid w:val="00305142"/>
    <w:rsid w:val="003060A5"/>
    <w:rsid w:val="00306D1A"/>
    <w:rsid w:val="00307078"/>
    <w:rsid w:val="00307940"/>
    <w:rsid w:val="00310175"/>
    <w:rsid w:val="00310EA7"/>
    <w:rsid w:val="00310F65"/>
    <w:rsid w:val="00317912"/>
    <w:rsid w:val="00320DE3"/>
    <w:rsid w:val="00322DC4"/>
    <w:rsid w:val="00324520"/>
    <w:rsid w:val="003247ED"/>
    <w:rsid w:val="003260C1"/>
    <w:rsid w:val="003263FC"/>
    <w:rsid w:val="00326B31"/>
    <w:rsid w:val="00330614"/>
    <w:rsid w:val="00330A09"/>
    <w:rsid w:val="0033125B"/>
    <w:rsid w:val="00331306"/>
    <w:rsid w:val="00331B90"/>
    <w:rsid w:val="00333CB0"/>
    <w:rsid w:val="0033556D"/>
    <w:rsid w:val="0033736D"/>
    <w:rsid w:val="00337D83"/>
    <w:rsid w:val="00341332"/>
    <w:rsid w:val="003434AB"/>
    <w:rsid w:val="00343673"/>
    <w:rsid w:val="00343EC2"/>
    <w:rsid w:val="0034541D"/>
    <w:rsid w:val="00345886"/>
    <w:rsid w:val="00346C7B"/>
    <w:rsid w:val="0035073D"/>
    <w:rsid w:val="0035200C"/>
    <w:rsid w:val="00352112"/>
    <w:rsid w:val="0035226D"/>
    <w:rsid w:val="0035498D"/>
    <w:rsid w:val="00355834"/>
    <w:rsid w:val="00356384"/>
    <w:rsid w:val="00360F5B"/>
    <w:rsid w:val="003610F6"/>
    <w:rsid w:val="003614D3"/>
    <w:rsid w:val="0036586A"/>
    <w:rsid w:val="00367806"/>
    <w:rsid w:val="00373282"/>
    <w:rsid w:val="003741C2"/>
    <w:rsid w:val="0038044D"/>
    <w:rsid w:val="00380D7A"/>
    <w:rsid w:val="00383814"/>
    <w:rsid w:val="00384027"/>
    <w:rsid w:val="00384D28"/>
    <w:rsid w:val="00384F4E"/>
    <w:rsid w:val="0038695E"/>
    <w:rsid w:val="00387FAF"/>
    <w:rsid w:val="0039059A"/>
    <w:rsid w:val="00391266"/>
    <w:rsid w:val="00392793"/>
    <w:rsid w:val="00394346"/>
    <w:rsid w:val="00396E50"/>
    <w:rsid w:val="003A0B09"/>
    <w:rsid w:val="003A0EF6"/>
    <w:rsid w:val="003A190D"/>
    <w:rsid w:val="003A29DA"/>
    <w:rsid w:val="003A2CBF"/>
    <w:rsid w:val="003A365E"/>
    <w:rsid w:val="003A558D"/>
    <w:rsid w:val="003A6073"/>
    <w:rsid w:val="003A62C2"/>
    <w:rsid w:val="003A706D"/>
    <w:rsid w:val="003B017F"/>
    <w:rsid w:val="003B1791"/>
    <w:rsid w:val="003B225F"/>
    <w:rsid w:val="003B30D5"/>
    <w:rsid w:val="003B3774"/>
    <w:rsid w:val="003B438F"/>
    <w:rsid w:val="003B4796"/>
    <w:rsid w:val="003B532D"/>
    <w:rsid w:val="003B746C"/>
    <w:rsid w:val="003B7C6E"/>
    <w:rsid w:val="003B7FC6"/>
    <w:rsid w:val="003C189E"/>
    <w:rsid w:val="003C26D6"/>
    <w:rsid w:val="003C3950"/>
    <w:rsid w:val="003C66AB"/>
    <w:rsid w:val="003C68ED"/>
    <w:rsid w:val="003C73F8"/>
    <w:rsid w:val="003D1ED5"/>
    <w:rsid w:val="003D59BC"/>
    <w:rsid w:val="003D75D7"/>
    <w:rsid w:val="003E01AC"/>
    <w:rsid w:val="003E0513"/>
    <w:rsid w:val="003E36BC"/>
    <w:rsid w:val="003E43E3"/>
    <w:rsid w:val="003E4434"/>
    <w:rsid w:val="003E7C29"/>
    <w:rsid w:val="003F11C4"/>
    <w:rsid w:val="003F1B89"/>
    <w:rsid w:val="003F50AB"/>
    <w:rsid w:val="004041D7"/>
    <w:rsid w:val="0040632D"/>
    <w:rsid w:val="00406429"/>
    <w:rsid w:val="0040704F"/>
    <w:rsid w:val="00412DB7"/>
    <w:rsid w:val="00413CE9"/>
    <w:rsid w:val="00415559"/>
    <w:rsid w:val="004155B2"/>
    <w:rsid w:val="00415FC9"/>
    <w:rsid w:val="00417239"/>
    <w:rsid w:val="00420DC2"/>
    <w:rsid w:val="004227CA"/>
    <w:rsid w:val="00422E05"/>
    <w:rsid w:val="00423CC2"/>
    <w:rsid w:val="00425539"/>
    <w:rsid w:val="0042644F"/>
    <w:rsid w:val="00426FBA"/>
    <w:rsid w:val="0043090C"/>
    <w:rsid w:val="00432D2B"/>
    <w:rsid w:val="00432DF0"/>
    <w:rsid w:val="0043417F"/>
    <w:rsid w:val="0043443F"/>
    <w:rsid w:val="00435CE2"/>
    <w:rsid w:val="004375BE"/>
    <w:rsid w:val="00437933"/>
    <w:rsid w:val="00440C38"/>
    <w:rsid w:val="00441861"/>
    <w:rsid w:val="00442030"/>
    <w:rsid w:val="00442819"/>
    <w:rsid w:val="00444BEF"/>
    <w:rsid w:val="004454CA"/>
    <w:rsid w:val="00446D76"/>
    <w:rsid w:val="0044763A"/>
    <w:rsid w:val="0045040E"/>
    <w:rsid w:val="00453D3F"/>
    <w:rsid w:val="00453DBA"/>
    <w:rsid w:val="0045594F"/>
    <w:rsid w:val="00455AD2"/>
    <w:rsid w:val="00455E2E"/>
    <w:rsid w:val="00457BA7"/>
    <w:rsid w:val="00460824"/>
    <w:rsid w:val="00464FD6"/>
    <w:rsid w:val="004655DC"/>
    <w:rsid w:val="004736AF"/>
    <w:rsid w:val="00474787"/>
    <w:rsid w:val="00475D32"/>
    <w:rsid w:val="00476774"/>
    <w:rsid w:val="004769EC"/>
    <w:rsid w:val="00476CF5"/>
    <w:rsid w:val="004830DA"/>
    <w:rsid w:val="00486112"/>
    <w:rsid w:val="00487A39"/>
    <w:rsid w:val="004904D6"/>
    <w:rsid w:val="00490CDF"/>
    <w:rsid w:val="00490FD8"/>
    <w:rsid w:val="004910EC"/>
    <w:rsid w:val="004917DE"/>
    <w:rsid w:val="00491F67"/>
    <w:rsid w:val="00492CEE"/>
    <w:rsid w:val="00492D57"/>
    <w:rsid w:val="00494494"/>
    <w:rsid w:val="00494F4D"/>
    <w:rsid w:val="004966D0"/>
    <w:rsid w:val="00496C4F"/>
    <w:rsid w:val="00496DFB"/>
    <w:rsid w:val="00496FCC"/>
    <w:rsid w:val="00497313"/>
    <w:rsid w:val="00497E00"/>
    <w:rsid w:val="004A0716"/>
    <w:rsid w:val="004A0E85"/>
    <w:rsid w:val="004A2773"/>
    <w:rsid w:val="004A5FD4"/>
    <w:rsid w:val="004A70C0"/>
    <w:rsid w:val="004A7912"/>
    <w:rsid w:val="004B05CC"/>
    <w:rsid w:val="004B25A6"/>
    <w:rsid w:val="004B3008"/>
    <w:rsid w:val="004B431A"/>
    <w:rsid w:val="004B683C"/>
    <w:rsid w:val="004B75DD"/>
    <w:rsid w:val="004C0031"/>
    <w:rsid w:val="004C0404"/>
    <w:rsid w:val="004C39B6"/>
    <w:rsid w:val="004C3BFA"/>
    <w:rsid w:val="004C77F6"/>
    <w:rsid w:val="004D2E63"/>
    <w:rsid w:val="004D475C"/>
    <w:rsid w:val="004D5A99"/>
    <w:rsid w:val="004E0C96"/>
    <w:rsid w:val="004E12CB"/>
    <w:rsid w:val="004E1B8C"/>
    <w:rsid w:val="004E2469"/>
    <w:rsid w:val="004E2BFF"/>
    <w:rsid w:val="004E424F"/>
    <w:rsid w:val="004E579E"/>
    <w:rsid w:val="004F0ED8"/>
    <w:rsid w:val="004F28A2"/>
    <w:rsid w:val="004F2B70"/>
    <w:rsid w:val="004F32F1"/>
    <w:rsid w:val="004F33C5"/>
    <w:rsid w:val="004F416C"/>
    <w:rsid w:val="004F5053"/>
    <w:rsid w:val="004F6482"/>
    <w:rsid w:val="00500D88"/>
    <w:rsid w:val="005027AA"/>
    <w:rsid w:val="0050427E"/>
    <w:rsid w:val="005047AF"/>
    <w:rsid w:val="00505AAD"/>
    <w:rsid w:val="00505B7F"/>
    <w:rsid w:val="00506608"/>
    <w:rsid w:val="00506787"/>
    <w:rsid w:val="005103AD"/>
    <w:rsid w:val="005106FA"/>
    <w:rsid w:val="00510E97"/>
    <w:rsid w:val="00512BC4"/>
    <w:rsid w:val="00512FEB"/>
    <w:rsid w:val="0051374B"/>
    <w:rsid w:val="0051451E"/>
    <w:rsid w:val="00517171"/>
    <w:rsid w:val="005216BC"/>
    <w:rsid w:val="00521742"/>
    <w:rsid w:val="00521AE2"/>
    <w:rsid w:val="00521F70"/>
    <w:rsid w:val="00522CB4"/>
    <w:rsid w:val="0052458C"/>
    <w:rsid w:val="0052565C"/>
    <w:rsid w:val="00531496"/>
    <w:rsid w:val="005326F4"/>
    <w:rsid w:val="00533AB0"/>
    <w:rsid w:val="00533CD8"/>
    <w:rsid w:val="00534CCB"/>
    <w:rsid w:val="00535004"/>
    <w:rsid w:val="00535430"/>
    <w:rsid w:val="00535EBD"/>
    <w:rsid w:val="00536B06"/>
    <w:rsid w:val="0053732E"/>
    <w:rsid w:val="0053759F"/>
    <w:rsid w:val="00537942"/>
    <w:rsid w:val="005402DD"/>
    <w:rsid w:val="005405EA"/>
    <w:rsid w:val="00541E35"/>
    <w:rsid w:val="00544600"/>
    <w:rsid w:val="00544D15"/>
    <w:rsid w:val="005456FB"/>
    <w:rsid w:val="005468A3"/>
    <w:rsid w:val="005478BE"/>
    <w:rsid w:val="00550AC3"/>
    <w:rsid w:val="00552B90"/>
    <w:rsid w:val="005535A9"/>
    <w:rsid w:val="00553DEB"/>
    <w:rsid w:val="00554389"/>
    <w:rsid w:val="0055625B"/>
    <w:rsid w:val="00557879"/>
    <w:rsid w:val="0055789D"/>
    <w:rsid w:val="00561682"/>
    <w:rsid w:val="00561CFB"/>
    <w:rsid w:val="00561FAB"/>
    <w:rsid w:val="00562F02"/>
    <w:rsid w:val="005634D3"/>
    <w:rsid w:val="00564A99"/>
    <w:rsid w:val="0056527D"/>
    <w:rsid w:val="0056669E"/>
    <w:rsid w:val="00567E83"/>
    <w:rsid w:val="005710CC"/>
    <w:rsid w:val="00571C1A"/>
    <w:rsid w:val="00572E23"/>
    <w:rsid w:val="00574A11"/>
    <w:rsid w:val="00576A4B"/>
    <w:rsid w:val="0057735C"/>
    <w:rsid w:val="00577F4E"/>
    <w:rsid w:val="0058047B"/>
    <w:rsid w:val="0058074E"/>
    <w:rsid w:val="00580DA2"/>
    <w:rsid w:val="00581B8E"/>
    <w:rsid w:val="00581C41"/>
    <w:rsid w:val="005821E2"/>
    <w:rsid w:val="00583025"/>
    <w:rsid w:val="005830DB"/>
    <w:rsid w:val="00583A24"/>
    <w:rsid w:val="005848CF"/>
    <w:rsid w:val="005871C1"/>
    <w:rsid w:val="005900B2"/>
    <w:rsid w:val="00593882"/>
    <w:rsid w:val="005952CE"/>
    <w:rsid w:val="005954D1"/>
    <w:rsid w:val="00595BD2"/>
    <w:rsid w:val="005A03F7"/>
    <w:rsid w:val="005A1B29"/>
    <w:rsid w:val="005A20F6"/>
    <w:rsid w:val="005A5802"/>
    <w:rsid w:val="005A7CFE"/>
    <w:rsid w:val="005A7E77"/>
    <w:rsid w:val="005A7FE1"/>
    <w:rsid w:val="005B0525"/>
    <w:rsid w:val="005B5257"/>
    <w:rsid w:val="005B548C"/>
    <w:rsid w:val="005B59C1"/>
    <w:rsid w:val="005C0210"/>
    <w:rsid w:val="005C1DA0"/>
    <w:rsid w:val="005C23AB"/>
    <w:rsid w:val="005C39DD"/>
    <w:rsid w:val="005C496E"/>
    <w:rsid w:val="005C4E7B"/>
    <w:rsid w:val="005C5189"/>
    <w:rsid w:val="005C5B27"/>
    <w:rsid w:val="005C6B82"/>
    <w:rsid w:val="005C71E5"/>
    <w:rsid w:val="005C7A56"/>
    <w:rsid w:val="005D22F5"/>
    <w:rsid w:val="005D31AE"/>
    <w:rsid w:val="005D37CB"/>
    <w:rsid w:val="005D3820"/>
    <w:rsid w:val="005D4505"/>
    <w:rsid w:val="005D4864"/>
    <w:rsid w:val="005D57DB"/>
    <w:rsid w:val="005D5AAD"/>
    <w:rsid w:val="005D609F"/>
    <w:rsid w:val="005D63FB"/>
    <w:rsid w:val="005E0452"/>
    <w:rsid w:val="005E2BD3"/>
    <w:rsid w:val="005E4D3B"/>
    <w:rsid w:val="005E5EEA"/>
    <w:rsid w:val="005E74B7"/>
    <w:rsid w:val="005E7C34"/>
    <w:rsid w:val="005F3EAD"/>
    <w:rsid w:val="005F7822"/>
    <w:rsid w:val="0060089C"/>
    <w:rsid w:val="0060317D"/>
    <w:rsid w:val="00604D64"/>
    <w:rsid w:val="00604E41"/>
    <w:rsid w:val="00605876"/>
    <w:rsid w:val="00607F9C"/>
    <w:rsid w:val="00610115"/>
    <w:rsid w:val="00613ADF"/>
    <w:rsid w:val="00614517"/>
    <w:rsid w:val="006157FF"/>
    <w:rsid w:val="00615C22"/>
    <w:rsid w:val="00616ACF"/>
    <w:rsid w:val="00616B00"/>
    <w:rsid w:val="00617C69"/>
    <w:rsid w:val="00620450"/>
    <w:rsid w:val="00623524"/>
    <w:rsid w:val="00624A69"/>
    <w:rsid w:val="00626710"/>
    <w:rsid w:val="00627084"/>
    <w:rsid w:val="006271F2"/>
    <w:rsid w:val="00633216"/>
    <w:rsid w:val="006344C4"/>
    <w:rsid w:val="00634C7C"/>
    <w:rsid w:val="0063773B"/>
    <w:rsid w:val="006401F5"/>
    <w:rsid w:val="00641AE3"/>
    <w:rsid w:val="006424DD"/>
    <w:rsid w:val="0064290A"/>
    <w:rsid w:val="00652C43"/>
    <w:rsid w:val="00653B8D"/>
    <w:rsid w:val="006555CA"/>
    <w:rsid w:val="00655950"/>
    <w:rsid w:val="00655AFE"/>
    <w:rsid w:val="006608C1"/>
    <w:rsid w:val="006615BC"/>
    <w:rsid w:val="00661AFA"/>
    <w:rsid w:val="00662293"/>
    <w:rsid w:val="00662BCD"/>
    <w:rsid w:val="00663D21"/>
    <w:rsid w:val="00664901"/>
    <w:rsid w:val="00664AB4"/>
    <w:rsid w:val="006677EB"/>
    <w:rsid w:val="00671B66"/>
    <w:rsid w:val="00671F4C"/>
    <w:rsid w:val="0067343F"/>
    <w:rsid w:val="00675A55"/>
    <w:rsid w:val="00677DC2"/>
    <w:rsid w:val="00680028"/>
    <w:rsid w:val="00681D9F"/>
    <w:rsid w:val="00682873"/>
    <w:rsid w:val="00684488"/>
    <w:rsid w:val="006859DD"/>
    <w:rsid w:val="00686094"/>
    <w:rsid w:val="00686EBD"/>
    <w:rsid w:val="00686FB3"/>
    <w:rsid w:val="006902A9"/>
    <w:rsid w:val="00691843"/>
    <w:rsid w:val="00691F27"/>
    <w:rsid w:val="006938E8"/>
    <w:rsid w:val="006949EE"/>
    <w:rsid w:val="00694EE0"/>
    <w:rsid w:val="00695D01"/>
    <w:rsid w:val="00695E7E"/>
    <w:rsid w:val="00696C11"/>
    <w:rsid w:val="006A0F00"/>
    <w:rsid w:val="006A3754"/>
    <w:rsid w:val="006A3A40"/>
    <w:rsid w:val="006A6538"/>
    <w:rsid w:val="006A7688"/>
    <w:rsid w:val="006A7DD7"/>
    <w:rsid w:val="006A7F94"/>
    <w:rsid w:val="006B09D3"/>
    <w:rsid w:val="006B2E7C"/>
    <w:rsid w:val="006B314D"/>
    <w:rsid w:val="006B4ABE"/>
    <w:rsid w:val="006B57B4"/>
    <w:rsid w:val="006C12AD"/>
    <w:rsid w:val="006C2F25"/>
    <w:rsid w:val="006C34EE"/>
    <w:rsid w:val="006C3AF6"/>
    <w:rsid w:val="006C3D1E"/>
    <w:rsid w:val="006C44ED"/>
    <w:rsid w:val="006C4F7D"/>
    <w:rsid w:val="006C5755"/>
    <w:rsid w:val="006C57F4"/>
    <w:rsid w:val="006C60B5"/>
    <w:rsid w:val="006C687E"/>
    <w:rsid w:val="006D0B78"/>
    <w:rsid w:val="006D1E78"/>
    <w:rsid w:val="006D2E00"/>
    <w:rsid w:val="006D4282"/>
    <w:rsid w:val="006D4E87"/>
    <w:rsid w:val="006D58D6"/>
    <w:rsid w:val="006D6029"/>
    <w:rsid w:val="006D7229"/>
    <w:rsid w:val="006E077F"/>
    <w:rsid w:val="006E3429"/>
    <w:rsid w:val="006E4AAC"/>
    <w:rsid w:val="006E53E8"/>
    <w:rsid w:val="006E5924"/>
    <w:rsid w:val="006E5C56"/>
    <w:rsid w:val="006F11D3"/>
    <w:rsid w:val="006F18EB"/>
    <w:rsid w:val="006F2F02"/>
    <w:rsid w:val="006F2F5A"/>
    <w:rsid w:val="006F5858"/>
    <w:rsid w:val="00700E8C"/>
    <w:rsid w:val="00701FEE"/>
    <w:rsid w:val="00702180"/>
    <w:rsid w:val="00702664"/>
    <w:rsid w:val="007056ED"/>
    <w:rsid w:val="00705AD5"/>
    <w:rsid w:val="00706164"/>
    <w:rsid w:val="007079B1"/>
    <w:rsid w:val="00710C07"/>
    <w:rsid w:val="00713352"/>
    <w:rsid w:val="00714424"/>
    <w:rsid w:val="00717CE1"/>
    <w:rsid w:val="00717E40"/>
    <w:rsid w:val="00720169"/>
    <w:rsid w:val="00721F68"/>
    <w:rsid w:val="00721F92"/>
    <w:rsid w:val="00722668"/>
    <w:rsid w:val="007246DA"/>
    <w:rsid w:val="00725997"/>
    <w:rsid w:val="007261DF"/>
    <w:rsid w:val="00730AB9"/>
    <w:rsid w:val="00731CBF"/>
    <w:rsid w:val="00731E3F"/>
    <w:rsid w:val="00731E6C"/>
    <w:rsid w:val="007324BD"/>
    <w:rsid w:val="00733D22"/>
    <w:rsid w:val="00733E3C"/>
    <w:rsid w:val="00734D06"/>
    <w:rsid w:val="0073512E"/>
    <w:rsid w:val="0073575A"/>
    <w:rsid w:val="00741B32"/>
    <w:rsid w:val="00743643"/>
    <w:rsid w:val="00744DCC"/>
    <w:rsid w:val="00744EBF"/>
    <w:rsid w:val="0075000E"/>
    <w:rsid w:val="00754E1F"/>
    <w:rsid w:val="00754EB0"/>
    <w:rsid w:val="007553FD"/>
    <w:rsid w:val="007619C6"/>
    <w:rsid w:val="0076437B"/>
    <w:rsid w:val="00764795"/>
    <w:rsid w:val="00765546"/>
    <w:rsid w:val="007659C7"/>
    <w:rsid w:val="007661D3"/>
    <w:rsid w:val="00767803"/>
    <w:rsid w:val="007718A4"/>
    <w:rsid w:val="00772B21"/>
    <w:rsid w:val="00773BE7"/>
    <w:rsid w:val="00775C2B"/>
    <w:rsid w:val="00776664"/>
    <w:rsid w:val="00777060"/>
    <w:rsid w:val="00777B3A"/>
    <w:rsid w:val="0078035B"/>
    <w:rsid w:val="00782C7B"/>
    <w:rsid w:val="00782EB9"/>
    <w:rsid w:val="007831AB"/>
    <w:rsid w:val="00783652"/>
    <w:rsid w:val="00783C2D"/>
    <w:rsid w:val="007840C9"/>
    <w:rsid w:val="00786355"/>
    <w:rsid w:val="0078675F"/>
    <w:rsid w:val="007874C5"/>
    <w:rsid w:val="00793A38"/>
    <w:rsid w:val="00793D7E"/>
    <w:rsid w:val="007944C6"/>
    <w:rsid w:val="007A1879"/>
    <w:rsid w:val="007A3D88"/>
    <w:rsid w:val="007A7643"/>
    <w:rsid w:val="007B2580"/>
    <w:rsid w:val="007B3D97"/>
    <w:rsid w:val="007C0676"/>
    <w:rsid w:val="007C1778"/>
    <w:rsid w:val="007C19EE"/>
    <w:rsid w:val="007C1D50"/>
    <w:rsid w:val="007C49A7"/>
    <w:rsid w:val="007C607B"/>
    <w:rsid w:val="007C7365"/>
    <w:rsid w:val="007D09E2"/>
    <w:rsid w:val="007D17B6"/>
    <w:rsid w:val="007D1852"/>
    <w:rsid w:val="007D2AC8"/>
    <w:rsid w:val="007D4FB3"/>
    <w:rsid w:val="007D61AE"/>
    <w:rsid w:val="007D64F5"/>
    <w:rsid w:val="007D7618"/>
    <w:rsid w:val="007E09FE"/>
    <w:rsid w:val="007E39A6"/>
    <w:rsid w:val="007E4DB7"/>
    <w:rsid w:val="007E544E"/>
    <w:rsid w:val="007E5FB8"/>
    <w:rsid w:val="007E6A85"/>
    <w:rsid w:val="007F1D34"/>
    <w:rsid w:val="007F2510"/>
    <w:rsid w:val="007F2750"/>
    <w:rsid w:val="007F2C5D"/>
    <w:rsid w:val="007F49DB"/>
    <w:rsid w:val="007F52B8"/>
    <w:rsid w:val="00802217"/>
    <w:rsid w:val="00804187"/>
    <w:rsid w:val="0080420F"/>
    <w:rsid w:val="0080600F"/>
    <w:rsid w:val="008065E7"/>
    <w:rsid w:val="00813775"/>
    <w:rsid w:val="00815CE8"/>
    <w:rsid w:val="0081715E"/>
    <w:rsid w:val="00820337"/>
    <w:rsid w:val="0082224E"/>
    <w:rsid w:val="00822AFF"/>
    <w:rsid w:val="00823E4C"/>
    <w:rsid w:val="008242DF"/>
    <w:rsid w:val="00825873"/>
    <w:rsid w:val="00827860"/>
    <w:rsid w:val="00831B80"/>
    <w:rsid w:val="008331AF"/>
    <w:rsid w:val="0083347E"/>
    <w:rsid w:val="008342CB"/>
    <w:rsid w:val="00834A0B"/>
    <w:rsid w:val="0083785A"/>
    <w:rsid w:val="0084184C"/>
    <w:rsid w:val="00845251"/>
    <w:rsid w:val="008454C9"/>
    <w:rsid w:val="008464CF"/>
    <w:rsid w:val="00846A5C"/>
    <w:rsid w:val="00847025"/>
    <w:rsid w:val="0085139B"/>
    <w:rsid w:val="008517BE"/>
    <w:rsid w:val="00852872"/>
    <w:rsid w:val="00857239"/>
    <w:rsid w:val="0085736C"/>
    <w:rsid w:val="008573F5"/>
    <w:rsid w:val="00862985"/>
    <w:rsid w:val="00862D54"/>
    <w:rsid w:val="00865504"/>
    <w:rsid w:val="0086687E"/>
    <w:rsid w:val="008676C8"/>
    <w:rsid w:val="00867FE7"/>
    <w:rsid w:val="008705E6"/>
    <w:rsid w:val="00872B20"/>
    <w:rsid w:val="00873372"/>
    <w:rsid w:val="00873D93"/>
    <w:rsid w:val="00875315"/>
    <w:rsid w:val="00877567"/>
    <w:rsid w:val="008825BA"/>
    <w:rsid w:val="008829DA"/>
    <w:rsid w:val="0088341C"/>
    <w:rsid w:val="0088469C"/>
    <w:rsid w:val="00884AAB"/>
    <w:rsid w:val="008859B8"/>
    <w:rsid w:val="00890471"/>
    <w:rsid w:val="00890A66"/>
    <w:rsid w:val="00893934"/>
    <w:rsid w:val="00894EC0"/>
    <w:rsid w:val="008A2682"/>
    <w:rsid w:val="008A279C"/>
    <w:rsid w:val="008A4AAD"/>
    <w:rsid w:val="008A5B04"/>
    <w:rsid w:val="008A64E7"/>
    <w:rsid w:val="008B00E2"/>
    <w:rsid w:val="008B0144"/>
    <w:rsid w:val="008B1522"/>
    <w:rsid w:val="008B163D"/>
    <w:rsid w:val="008B3D55"/>
    <w:rsid w:val="008B4314"/>
    <w:rsid w:val="008B6878"/>
    <w:rsid w:val="008B7720"/>
    <w:rsid w:val="008C0253"/>
    <w:rsid w:val="008C34C7"/>
    <w:rsid w:val="008C579B"/>
    <w:rsid w:val="008C63BA"/>
    <w:rsid w:val="008C7268"/>
    <w:rsid w:val="008C73D9"/>
    <w:rsid w:val="008C7B78"/>
    <w:rsid w:val="008D0540"/>
    <w:rsid w:val="008D099A"/>
    <w:rsid w:val="008D1099"/>
    <w:rsid w:val="008D19AD"/>
    <w:rsid w:val="008D1E4D"/>
    <w:rsid w:val="008D1FE7"/>
    <w:rsid w:val="008D24D7"/>
    <w:rsid w:val="008D4198"/>
    <w:rsid w:val="008D4673"/>
    <w:rsid w:val="008D596B"/>
    <w:rsid w:val="008D6710"/>
    <w:rsid w:val="008D7D3E"/>
    <w:rsid w:val="008E0418"/>
    <w:rsid w:val="008E0BA8"/>
    <w:rsid w:val="008E1E05"/>
    <w:rsid w:val="008E232F"/>
    <w:rsid w:val="008E631D"/>
    <w:rsid w:val="008E6579"/>
    <w:rsid w:val="008E71C1"/>
    <w:rsid w:val="008F074D"/>
    <w:rsid w:val="008F0986"/>
    <w:rsid w:val="008F21C4"/>
    <w:rsid w:val="008F2D58"/>
    <w:rsid w:val="008F2E97"/>
    <w:rsid w:val="008F359D"/>
    <w:rsid w:val="008F3B34"/>
    <w:rsid w:val="008F65B2"/>
    <w:rsid w:val="008F65EC"/>
    <w:rsid w:val="008F6657"/>
    <w:rsid w:val="008F702B"/>
    <w:rsid w:val="008F757D"/>
    <w:rsid w:val="008F78FE"/>
    <w:rsid w:val="00901587"/>
    <w:rsid w:val="00902B1A"/>
    <w:rsid w:val="00910E2F"/>
    <w:rsid w:val="00912041"/>
    <w:rsid w:val="00913F96"/>
    <w:rsid w:val="0092134E"/>
    <w:rsid w:val="00924B89"/>
    <w:rsid w:val="00925C6C"/>
    <w:rsid w:val="00926134"/>
    <w:rsid w:val="0093058F"/>
    <w:rsid w:val="00930F6B"/>
    <w:rsid w:val="00931ED0"/>
    <w:rsid w:val="0093243F"/>
    <w:rsid w:val="0093306B"/>
    <w:rsid w:val="0093527A"/>
    <w:rsid w:val="0093571B"/>
    <w:rsid w:val="009365C1"/>
    <w:rsid w:val="009371D5"/>
    <w:rsid w:val="00940C59"/>
    <w:rsid w:val="00944162"/>
    <w:rsid w:val="009468E1"/>
    <w:rsid w:val="0094704D"/>
    <w:rsid w:val="009479A9"/>
    <w:rsid w:val="0095047F"/>
    <w:rsid w:val="00950B90"/>
    <w:rsid w:val="00951926"/>
    <w:rsid w:val="00951C1D"/>
    <w:rsid w:val="0095296B"/>
    <w:rsid w:val="00952ED8"/>
    <w:rsid w:val="009532E9"/>
    <w:rsid w:val="00953303"/>
    <w:rsid w:val="0095345E"/>
    <w:rsid w:val="009542C0"/>
    <w:rsid w:val="00954F09"/>
    <w:rsid w:val="00955723"/>
    <w:rsid w:val="009559EF"/>
    <w:rsid w:val="00956D33"/>
    <w:rsid w:val="0096458B"/>
    <w:rsid w:val="009674EE"/>
    <w:rsid w:val="0097090F"/>
    <w:rsid w:val="00970D03"/>
    <w:rsid w:val="00973EA0"/>
    <w:rsid w:val="00973FDC"/>
    <w:rsid w:val="009741AD"/>
    <w:rsid w:val="00975403"/>
    <w:rsid w:val="00976C4E"/>
    <w:rsid w:val="00976F36"/>
    <w:rsid w:val="00977B0B"/>
    <w:rsid w:val="0098043E"/>
    <w:rsid w:val="00981BE2"/>
    <w:rsid w:val="00981FC0"/>
    <w:rsid w:val="009852D2"/>
    <w:rsid w:val="00986AB9"/>
    <w:rsid w:val="00987D82"/>
    <w:rsid w:val="00991011"/>
    <w:rsid w:val="00991CE6"/>
    <w:rsid w:val="00993176"/>
    <w:rsid w:val="009948A3"/>
    <w:rsid w:val="00994931"/>
    <w:rsid w:val="00994EF2"/>
    <w:rsid w:val="009968A6"/>
    <w:rsid w:val="00996D2D"/>
    <w:rsid w:val="00997DBA"/>
    <w:rsid w:val="009A1340"/>
    <w:rsid w:val="009A3DFC"/>
    <w:rsid w:val="009A4223"/>
    <w:rsid w:val="009A6AE1"/>
    <w:rsid w:val="009A6FE7"/>
    <w:rsid w:val="009A72E0"/>
    <w:rsid w:val="009A7A6E"/>
    <w:rsid w:val="009A7C59"/>
    <w:rsid w:val="009B4B93"/>
    <w:rsid w:val="009B5698"/>
    <w:rsid w:val="009B5FC9"/>
    <w:rsid w:val="009B6199"/>
    <w:rsid w:val="009B71C7"/>
    <w:rsid w:val="009C08D9"/>
    <w:rsid w:val="009C093A"/>
    <w:rsid w:val="009C0F7F"/>
    <w:rsid w:val="009C1340"/>
    <w:rsid w:val="009C1E9F"/>
    <w:rsid w:val="009C43FA"/>
    <w:rsid w:val="009C45A3"/>
    <w:rsid w:val="009C6412"/>
    <w:rsid w:val="009C7159"/>
    <w:rsid w:val="009C7383"/>
    <w:rsid w:val="009C7B89"/>
    <w:rsid w:val="009C7E35"/>
    <w:rsid w:val="009D2B79"/>
    <w:rsid w:val="009D2E05"/>
    <w:rsid w:val="009D2FF8"/>
    <w:rsid w:val="009D45E2"/>
    <w:rsid w:val="009D46DB"/>
    <w:rsid w:val="009D61F1"/>
    <w:rsid w:val="009E0F75"/>
    <w:rsid w:val="009E1D73"/>
    <w:rsid w:val="009E1DB2"/>
    <w:rsid w:val="009E23EB"/>
    <w:rsid w:val="009E32A0"/>
    <w:rsid w:val="009E37FE"/>
    <w:rsid w:val="009E3858"/>
    <w:rsid w:val="009E5ECD"/>
    <w:rsid w:val="009E689E"/>
    <w:rsid w:val="009E700E"/>
    <w:rsid w:val="009F0F06"/>
    <w:rsid w:val="009F18FE"/>
    <w:rsid w:val="009F2B90"/>
    <w:rsid w:val="009F2BD6"/>
    <w:rsid w:val="009F4464"/>
    <w:rsid w:val="009F51D4"/>
    <w:rsid w:val="009F598D"/>
    <w:rsid w:val="009F78ED"/>
    <w:rsid w:val="00A02806"/>
    <w:rsid w:val="00A03CE1"/>
    <w:rsid w:val="00A03E51"/>
    <w:rsid w:val="00A05A4A"/>
    <w:rsid w:val="00A070A1"/>
    <w:rsid w:val="00A073FD"/>
    <w:rsid w:val="00A112CB"/>
    <w:rsid w:val="00A1161D"/>
    <w:rsid w:val="00A11B0B"/>
    <w:rsid w:val="00A1672C"/>
    <w:rsid w:val="00A174EB"/>
    <w:rsid w:val="00A209AF"/>
    <w:rsid w:val="00A2156E"/>
    <w:rsid w:val="00A2520D"/>
    <w:rsid w:val="00A254E8"/>
    <w:rsid w:val="00A258DF"/>
    <w:rsid w:val="00A2742B"/>
    <w:rsid w:val="00A27D15"/>
    <w:rsid w:val="00A30861"/>
    <w:rsid w:val="00A311F2"/>
    <w:rsid w:val="00A313B6"/>
    <w:rsid w:val="00A328BC"/>
    <w:rsid w:val="00A33AA0"/>
    <w:rsid w:val="00A3638C"/>
    <w:rsid w:val="00A36B26"/>
    <w:rsid w:val="00A3728C"/>
    <w:rsid w:val="00A4077C"/>
    <w:rsid w:val="00A41A6D"/>
    <w:rsid w:val="00A422C8"/>
    <w:rsid w:val="00A44F2F"/>
    <w:rsid w:val="00A45CDA"/>
    <w:rsid w:val="00A51654"/>
    <w:rsid w:val="00A53726"/>
    <w:rsid w:val="00A53BD6"/>
    <w:rsid w:val="00A54C09"/>
    <w:rsid w:val="00A60052"/>
    <w:rsid w:val="00A610AB"/>
    <w:rsid w:val="00A61B9F"/>
    <w:rsid w:val="00A62E60"/>
    <w:rsid w:val="00A63D3B"/>
    <w:rsid w:val="00A646BD"/>
    <w:rsid w:val="00A65CB7"/>
    <w:rsid w:val="00A673CF"/>
    <w:rsid w:val="00A703F8"/>
    <w:rsid w:val="00A711DD"/>
    <w:rsid w:val="00A71D1B"/>
    <w:rsid w:val="00A72574"/>
    <w:rsid w:val="00A7382D"/>
    <w:rsid w:val="00A73BF7"/>
    <w:rsid w:val="00A757A8"/>
    <w:rsid w:val="00A75E0C"/>
    <w:rsid w:val="00A77B07"/>
    <w:rsid w:val="00A802DE"/>
    <w:rsid w:val="00A82769"/>
    <w:rsid w:val="00A8279A"/>
    <w:rsid w:val="00A843CF"/>
    <w:rsid w:val="00A85732"/>
    <w:rsid w:val="00A86438"/>
    <w:rsid w:val="00A866AC"/>
    <w:rsid w:val="00A87383"/>
    <w:rsid w:val="00A90DBA"/>
    <w:rsid w:val="00A91AA1"/>
    <w:rsid w:val="00A92361"/>
    <w:rsid w:val="00A93B97"/>
    <w:rsid w:val="00A946A4"/>
    <w:rsid w:val="00A956EF"/>
    <w:rsid w:val="00A95C97"/>
    <w:rsid w:val="00A977C3"/>
    <w:rsid w:val="00AA2B4F"/>
    <w:rsid w:val="00AA39C0"/>
    <w:rsid w:val="00AA3C90"/>
    <w:rsid w:val="00AA4B84"/>
    <w:rsid w:val="00AA4C6D"/>
    <w:rsid w:val="00AA4D7A"/>
    <w:rsid w:val="00AA55EA"/>
    <w:rsid w:val="00AA6143"/>
    <w:rsid w:val="00AA642A"/>
    <w:rsid w:val="00AA6B72"/>
    <w:rsid w:val="00AA6E23"/>
    <w:rsid w:val="00AA74F1"/>
    <w:rsid w:val="00AB0571"/>
    <w:rsid w:val="00AB396A"/>
    <w:rsid w:val="00AB4B7F"/>
    <w:rsid w:val="00AB52EC"/>
    <w:rsid w:val="00AB5D30"/>
    <w:rsid w:val="00AB6398"/>
    <w:rsid w:val="00AB7FBF"/>
    <w:rsid w:val="00AC03F1"/>
    <w:rsid w:val="00AC0ACE"/>
    <w:rsid w:val="00AC0FB1"/>
    <w:rsid w:val="00AC3B64"/>
    <w:rsid w:val="00AC46AD"/>
    <w:rsid w:val="00AC4FF6"/>
    <w:rsid w:val="00AC72F5"/>
    <w:rsid w:val="00AC7A20"/>
    <w:rsid w:val="00AC7ED4"/>
    <w:rsid w:val="00AD1AF8"/>
    <w:rsid w:val="00AD3D9C"/>
    <w:rsid w:val="00AD597E"/>
    <w:rsid w:val="00AD5A85"/>
    <w:rsid w:val="00AD76FD"/>
    <w:rsid w:val="00AD7C2F"/>
    <w:rsid w:val="00AE073D"/>
    <w:rsid w:val="00AE132D"/>
    <w:rsid w:val="00AE143D"/>
    <w:rsid w:val="00AE1572"/>
    <w:rsid w:val="00AE1EFE"/>
    <w:rsid w:val="00AE21F6"/>
    <w:rsid w:val="00AE5171"/>
    <w:rsid w:val="00AE6939"/>
    <w:rsid w:val="00AE6CFD"/>
    <w:rsid w:val="00AE7141"/>
    <w:rsid w:val="00AE74E6"/>
    <w:rsid w:val="00AE7FBB"/>
    <w:rsid w:val="00AF0D51"/>
    <w:rsid w:val="00AF1AF9"/>
    <w:rsid w:val="00AF1D48"/>
    <w:rsid w:val="00AF3317"/>
    <w:rsid w:val="00AF3576"/>
    <w:rsid w:val="00AF5034"/>
    <w:rsid w:val="00AF53A5"/>
    <w:rsid w:val="00B0009A"/>
    <w:rsid w:val="00B01B91"/>
    <w:rsid w:val="00B04046"/>
    <w:rsid w:val="00B05AF1"/>
    <w:rsid w:val="00B05EEB"/>
    <w:rsid w:val="00B06729"/>
    <w:rsid w:val="00B06CD2"/>
    <w:rsid w:val="00B1062A"/>
    <w:rsid w:val="00B10EFF"/>
    <w:rsid w:val="00B12867"/>
    <w:rsid w:val="00B13452"/>
    <w:rsid w:val="00B13495"/>
    <w:rsid w:val="00B14D72"/>
    <w:rsid w:val="00B14FE8"/>
    <w:rsid w:val="00B1651D"/>
    <w:rsid w:val="00B17899"/>
    <w:rsid w:val="00B22F48"/>
    <w:rsid w:val="00B232F2"/>
    <w:rsid w:val="00B23DC5"/>
    <w:rsid w:val="00B244C1"/>
    <w:rsid w:val="00B265C6"/>
    <w:rsid w:val="00B26952"/>
    <w:rsid w:val="00B277C7"/>
    <w:rsid w:val="00B3055F"/>
    <w:rsid w:val="00B31CD3"/>
    <w:rsid w:val="00B31EE4"/>
    <w:rsid w:val="00B321EB"/>
    <w:rsid w:val="00B34B6C"/>
    <w:rsid w:val="00B35B2D"/>
    <w:rsid w:val="00B371D8"/>
    <w:rsid w:val="00B40ECE"/>
    <w:rsid w:val="00B4184B"/>
    <w:rsid w:val="00B41C14"/>
    <w:rsid w:val="00B44FA7"/>
    <w:rsid w:val="00B4570B"/>
    <w:rsid w:val="00B5017D"/>
    <w:rsid w:val="00B57EC9"/>
    <w:rsid w:val="00B61FF9"/>
    <w:rsid w:val="00B62365"/>
    <w:rsid w:val="00B62CBD"/>
    <w:rsid w:val="00B64765"/>
    <w:rsid w:val="00B64BC6"/>
    <w:rsid w:val="00B66963"/>
    <w:rsid w:val="00B66E06"/>
    <w:rsid w:val="00B66FF3"/>
    <w:rsid w:val="00B679C4"/>
    <w:rsid w:val="00B72180"/>
    <w:rsid w:val="00B7274E"/>
    <w:rsid w:val="00B73225"/>
    <w:rsid w:val="00B73410"/>
    <w:rsid w:val="00B737F1"/>
    <w:rsid w:val="00B754A0"/>
    <w:rsid w:val="00B76291"/>
    <w:rsid w:val="00B76549"/>
    <w:rsid w:val="00B77556"/>
    <w:rsid w:val="00B80205"/>
    <w:rsid w:val="00B8190A"/>
    <w:rsid w:val="00B81EBB"/>
    <w:rsid w:val="00B839DB"/>
    <w:rsid w:val="00B83D82"/>
    <w:rsid w:val="00B84949"/>
    <w:rsid w:val="00B851E6"/>
    <w:rsid w:val="00B87006"/>
    <w:rsid w:val="00B87715"/>
    <w:rsid w:val="00B87F47"/>
    <w:rsid w:val="00B91DDF"/>
    <w:rsid w:val="00B91F12"/>
    <w:rsid w:val="00B91FBD"/>
    <w:rsid w:val="00B92457"/>
    <w:rsid w:val="00B94EE1"/>
    <w:rsid w:val="00B96616"/>
    <w:rsid w:val="00B970DC"/>
    <w:rsid w:val="00BA0907"/>
    <w:rsid w:val="00BA0ACA"/>
    <w:rsid w:val="00BA171B"/>
    <w:rsid w:val="00BA33EC"/>
    <w:rsid w:val="00BA34EC"/>
    <w:rsid w:val="00BA3A71"/>
    <w:rsid w:val="00BA407B"/>
    <w:rsid w:val="00BA4DE7"/>
    <w:rsid w:val="00BA58B7"/>
    <w:rsid w:val="00BA6418"/>
    <w:rsid w:val="00BB05A1"/>
    <w:rsid w:val="00BB1AFC"/>
    <w:rsid w:val="00BB2F54"/>
    <w:rsid w:val="00BB331E"/>
    <w:rsid w:val="00BB3D0C"/>
    <w:rsid w:val="00BB4586"/>
    <w:rsid w:val="00BB7E1E"/>
    <w:rsid w:val="00BB7EF4"/>
    <w:rsid w:val="00BC284F"/>
    <w:rsid w:val="00BC2FED"/>
    <w:rsid w:val="00BC3040"/>
    <w:rsid w:val="00BC53EC"/>
    <w:rsid w:val="00BD39A4"/>
    <w:rsid w:val="00BD5E23"/>
    <w:rsid w:val="00BD6D99"/>
    <w:rsid w:val="00BE03B1"/>
    <w:rsid w:val="00BE0789"/>
    <w:rsid w:val="00BE1EE9"/>
    <w:rsid w:val="00BE2B50"/>
    <w:rsid w:val="00BE310A"/>
    <w:rsid w:val="00BE6397"/>
    <w:rsid w:val="00BE6EAB"/>
    <w:rsid w:val="00BF02EE"/>
    <w:rsid w:val="00BF08F2"/>
    <w:rsid w:val="00BF3A39"/>
    <w:rsid w:val="00BF5DD3"/>
    <w:rsid w:val="00BF5DD8"/>
    <w:rsid w:val="00BF65AE"/>
    <w:rsid w:val="00BF780F"/>
    <w:rsid w:val="00C01438"/>
    <w:rsid w:val="00C02107"/>
    <w:rsid w:val="00C02C2C"/>
    <w:rsid w:val="00C02D73"/>
    <w:rsid w:val="00C04467"/>
    <w:rsid w:val="00C04B47"/>
    <w:rsid w:val="00C04DD8"/>
    <w:rsid w:val="00C071C1"/>
    <w:rsid w:val="00C1170B"/>
    <w:rsid w:val="00C1175F"/>
    <w:rsid w:val="00C130FE"/>
    <w:rsid w:val="00C13955"/>
    <w:rsid w:val="00C15AE9"/>
    <w:rsid w:val="00C15FA2"/>
    <w:rsid w:val="00C167F3"/>
    <w:rsid w:val="00C176AF"/>
    <w:rsid w:val="00C2039F"/>
    <w:rsid w:val="00C21B3E"/>
    <w:rsid w:val="00C225D7"/>
    <w:rsid w:val="00C22B85"/>
    <w:rsid w:val="00C24700"/>
    <w:rsid w:val="00C24AB0"/>
    <w:rsid w:val="00C252B7"/>
    <w:rsid w:val="00C266A4"/>
    <w:rsid w:val="00C276B4"/>
    <w:rsid w:val="00C27B8A"/>
    <w:rsid w:val="00C30F83"/>
    <w:rsid w:val="00C31183"/>
    <w:rsid w:val="00C31292"/>
    <w:rsid w:val="00C31D4A"/>
    <w:rsid w:val="00C31E28"/>
    <w:rsid w:val="00C3379B"/>
    <w:rsid w:val="00C36F5F"/>
    <w:rsid w:val="00C40212"/>
    <w:rsid w:val="00C40BC1"/>
    <w:rsid w:val="00C40C37"/>
    <w:rsid w:val="00C418B9"/>
    <w:rsid w:val="00C42611"/>
    <w:rsid w:val="00C4548F"/>
    <w:rsid w:val="00C457BF"/>
    <w:rsid w:val="00C4643B"/>
    <w:rsid w:val="00C500D1"/>
    <w:rsid w:val="00C535E5"/>
    <w:rsid w:val="00C53B10"/>
    <w:rsid w:val="00C56999"/>
    <w:rsid w:val="00C6077D"/>
    <w:rsid w:val="00C61B07"/>
    <w:rsid w:val="00C62011"/>
    <w:rsid w:val="00C637B1"/>
    <w:rsid w:val="00C63B93"/>
    <w:rsid w:val="00C63C9C"/>
    <w:rsid w:val="00C64C4F"/>
    <w:rsid w:val="00C66545"/>
    <w:rsid w:val="00C669B0"/>
    <w:rsid w:val="00C70EAB"/>
    <w:rsid w:val="00C7253D"/>
    <w:rsid w:val="00C72665"/>
    <w:rsid w:val="00C72BA3"/>
    <w:rsid w:val="00C736E8"/>
    <w:rsid w:val="00C7400D"/>
    <w:rsid w:val="00C75752"/>
    <w:rsid w:val="00C75F77"/>
    <w:rsid w:val="00C76A76"/>
    <w:rsid w:val="00C7714E"/>
    <w:rsid w:val="00C810D6"/>
    <w:rsid w:val="00C8301E"/>
    <w:rsid w:val="00C83500"/>
    <w:rsid w:val="00C83F73"/>
    <w:rsid w:val="00C85E14"/>
    <w:rsid w:val="00C8693F"/>
    <w:rsid w:val="00C876AE"/>
    <w:rsid w:val="00C917B2"/>
    <w:rsid w:val="00C92025"/>
    <w:rsid w:val="00C94237"/>
    <w:rsid w:val="00C95AE2"/>
    <w:rsid w:val="00CA1A29"/>
    <w:rsid w:val="00CA1F8A"/>
    <w:rsid w:val="00CA2079"/>
    <w:rsid w:val="00CA2AA3"/>
    <w:rsid w:val="00CA4C86"/>
    <w:rsid w:val="00CA5EAB"/>
    <w:rsid w:val="00CA5FAB"/>
    <w:rsid w:val="00CA778E"/>
    <w:rsid w:val="00CA7F86"/>
    <w:rsid w:val="00CB0E58"/>
    <w:rsid w:val="00CB145A"/>
    <w:rsid w:val="00CB2C67"/>
    <w:rsid w:val="00CB3234"/>
    <w:rsid w:val="00CB5570"/>
    <w:rsid w:val="00CC12C8"/>
    <w:rsid w:val="00CC2AAA"/>
    <w:rsid w:val="00CC2CB1"/>
    <w:rsid w:val="00CC2F57"/>
    <w:rsid w:val="00CC5051"/>
    <w:rsid w:val="00CD02DB"/>
    <w:rsid w:val="00CD1679"/>
    <w:rsid w:val="00CD1838"/>
    <w:rsid w:val="00CD2E36"/>
    <w:rsid w:val="00CD5846"/>
    <w:rsid w:val="00CD71C1"/>
    <w:rsid w:val="00CE1228"/>
    <w:rsid w:val="00CE3425"/>
    <w:rsid w:val="00CE3AE3"/>
    <w:rsid w:val="00CE4246"/>
    <w:rsid w:val="00CE4586"/>
    <w:rsid w:val="00CE5892"/>
    <w:rsid w:val="00CE5DB4"/>
    <w:rsid w:val="00CE61BA"/>
    <w:rsid w:val="00CE6F63"/>
    <w:rsid w:val="00CF047C"/>
    <w:rsid w:val="00CF0F4C"/>
    <w:rsid w:val="00CF4183"/>
    <w:rsid w:val="00CF6E50"/>
    <w:rsid w:val="00CF72CA"/>
    <w:rsid w:val="00D00A17"/>
    <w:rsid w:val="00D00E02"/>
    <w:rsid w:val="00D026A0"/>
    <w:rsid w:val="00D048F4"/>
    <w:rsid w:val="00D04DC4"/>
    <w:rsid w:val="00D05314"/>
    <w:rsid w:val="00D053E9"/>
    <w:rsid w:val="00D0756A"/>
    <w:rsid w:val="00D0793B"/>
    <w:rsid w:val="00D11D47"/>
    <w:rsid w:val="00D14EDF"/>
    <w:rsid w:val="00D17799"/>
    <w:rsid w:val="00D17D03"/>
    <w:rsid w:val="00D24632"/>
    <w:rsid w:val="00D24B0F"/>
    <w:rsid w:val="00D27209"/>
    <w:rsid w:val="00D328CF"/>
    <w:rsid w:val="00D32DFD"/>
    <w:rsid w:val="00D33B2E"/>
    <w:rsid w:val="00D36D03"/>
    <w:rsid w:val="00D42DE2"/>
    <w:rsid w:val="00D44668"/>
    <w:rsid w:val="00D4470E"/>
    <w:rsid w:val="00D465F7"/>
    <w:rsid w:val="00D502DF"/>
    <w:rsid w:val="00D52084"/>
    <w:rsid w:val="00D53DA9"/>
    <w:rsid w:val="00D54062"/>
    <w:rsid w:val="00D5548C"/>
    <w:rsid w:val="00D55E46"/>
    <w:rsid w:val="00D5684B"/>
    <w:rsid w:val="00D56E3B"/>
    <w:rsid w:val="00D570A6"/>
    <w:rsid w:val="00D62C86"/>
    <w:rsid w:val="00D62CA2"/>
    <w:rsid w:val="00D6356D"/>
    <w:rsid w:val="00D64380"/>
    <w:rsid w:val="00D64767"/>
    <w:rsid w:val="00D65900"/>
    <w:rsid w:val="00D66850"/>
    <w:rsid w:val="00D7156A"/>
    <w:rsid w:val="00D723E1"/>
    <w:rsid w:val="00D76228"/>
    <w:rsid w:val="00D77C84"/>
    <w:rsid w:val="00D80873"/>
    <w:rsid w:val="00D811F4"/>
    <w:rsid w:val="00D812B2"/>
    <w:rsid w:val="00D82A33"/>
    <w:rsid w:val="00D82C6D"/>
    <w:rsid w:val="00D82F63"/>
    <w:rsid w:val="00D83201"/>
    <w:rsid w:val="00D834D9"/>
    <w:rsid w:val="00D8374F"/>
    <w:rsid w:val="00D85E83"/>
    <w:rsid w:val="00D86066"/>
    <w:rsid w:val="00D860E0"/>
    <w:rsid w:val="00D86954"/>
    <w:rsid w:val="00D87BA9"/>
    <w:rsid w:val="00D90110"/>
    <w:rsid w:val="00D90397"/>
    <w:rsid w:val="00D9059F"/>
    <w:rsid w:val="00D90BA3"/>
    <w:rsid w:val="00D95751"/>
    <w:rsid w:val="00D97823"/>
    <w:rsid w:val="00DA0A12"/>
    <w:rsid w:val="00DA30DF"/>
    <w:rsid w:val="00DA42C5"/>
    <w:rsid w:val="00DA5B00"/>
    <w:rsid w:val="00DA5C2B"/>
    <w:rsid w:val="00DA68CA"/>
    <w:rsid w:val="00DA7622"/>
    <w:rsid w:val="00DB057A"/>
    <w:rsid w:val="00DB0C7D"/>
    <w:rsid w:val="00DB222E"/>
    <w:rsid w:val="00DB232D"/>
    <w:rsid w:val="00DB4C45"/>
    <w:rsid w:val="00DB4F27"/>
    <w:rsid w:val="00DB661C"/>
    <w:rsid w:val="00DC3AC5"/>
    <w:rsid w:val="00DC4063"/>
    <w:rsid w:val="00DC40ED"/>
    <w:rsid w:val="00DC64CD"/>
    <w:rsid w:val="00DC6E45"/>
    <w:rsid w:val="00DD1FB6"/>
    <w:rsid w:val="00DD2EDD"/>
    <w:rsid w:val="00DD36B6"/>
    <w:rsid w:val="00DD3E3B"/>
    <w:rsid w:val="00DD7B7D"/>
    <w:rsid w:val="00DE1324"/>
    <w:rsid w:val="00DE15DD"/>
    <w:rsid w:val="00DE1C77"/>
    <w:rsid w:val="00DE1D05"/>
    <w:rsid w:val="00DE3886"/>
    <w:rsid w:val="00DE3C12"/>
    <w:rsid w:val="00DE3E1F"/>
    <w:rsid w:val="00DE56CA"/>
    <w:rsid w:val="00DE79C4"/>
    <w:rsid w:val="00DF04CB"/>
    <w:rsid w:val="00DF13D4"/>
    <w:rsid w:val="00DF497F"/>
    <w:rsid w:val="00DF5C75"/>
    <w:rsid w:val="00DF5EEB"/>
    <w:rsid w:val="00DF5F38"/>
    <w:rsid w:val="00DF6E8A"/>
    <w:rsid w:val="00DF6EFE"/>
    <w:rsid w:val="00DF73EA"/>
    <w:rsid w:val="00DF7FF9"/>
    <w:rsid w:val="00E015C0"/>
    <w:rsid w:val="00E02A79"/>
    <w:rsid w:val="00E03F15"/>
    <w:rsid w:val="00E04B31"/>
    <w:rsid w:val="00E1150F"/>
    <w:rsid w:val="00E116B0"/>
    <w:rsid w:val="00E13912"/>
    <w:rsid w:val="00E13FDC"/>
    <w:rsid w:val="00E14FE4"/>
    <w:rsid w:val="00E1592A"/>
    <w:rsid w:val="00E17651"/>
    <w:rsid w:val="00E21458"/>
    <w:rsid w:val="00E236F7"/>
    <w:rsid w:val="00E24F16"/>
    <w:rsid w:val="00E25466"/>
    <w:rsid w:val="00E269EA"/>
    <w:rsid w:val="00E27F21"/>
    <w:rsid w:val="00E302B6"/>
    <w:rsid w:val="00E32250"/>
    <w:rsid w:val="00E32432"/>
    <w:rsid w:val="00E3257E"/>
    <w:rsid w:val="00E368CC"/>
    <w:rsid w:val="00E40479"/>
    <w:rsid w:val="00E40EC8"/>
    <w:rsid w:val="00E41AAE"/>
    <w:rsid w:val="00E42087"/>
    <w:rsid w:val="00E44408"/>
    <w:rsid w:val="00E44A6E"/>
    <w:rsid w:val="00E4539A"/>
    <w:rsid w:val="00E461B0"/>
    <w:rsid w:val="00E4622D"/>
    <w:rsid w:val="00E47B51"/>
    <w:rsid w:val="00E50191"/>
    <w:rsid w:val="00E50273"/>
    <w:rsid w:val="00E50B98"/>
    <w:rsid w:val="00E52D25"/>
    <w:rsid w:val="00E53B1C"/>
    <w:rsid w:val="00E53C99"/>
    <w:rsid w:val="00E561C4"/>
    <w:rsid w:val="00E57893"/>
    <w:rsid w:val="00E57942"/>
    <w:rsid w:val="00E61AAE"/>
    <w:rsid w:val="00E62BF9"/>
    <w:rsid w:val="00E646EB"/>
    <w:rsid w:val="00E648C1"/>
    <w:rsid w:val="00E64F89"/>
    <w:rsid w:val="00E6518B"/>
    <w:rsid w:val="00E6748A"/>
    <w:rsid w:val="00E676FE"/>
    <w:rsid w:val="00E67AD4"/>
    <w:rsid w:val="00E70424"/>
    <w:rsid w:val="00E711CA"/>
    <w:rsid w:val="00E717E9"/>
    <w:rsid w:val="00E72012"/>
    <w:rsid w:val="00E7302D"/>
    <w:rsid w:val="00E73DA3"/>
    <w:rsid w:val="00E749F3"/>
    <w:rsid w:val="00E7521C"/>
    <w:rsid w:val="00E765E1"/>
    <w:rsid w:val="00E803C0"/>
    <w:rsid w:val="00E80B73"/>
    <w:rsid w:val="00E83B06"/>
    <w:rsid w:val="00E842EC"/>
    <w:rsid w:val="00E8476D"/>
    <w:rsid w:val="00E8485C"/>
    <w:rsid w:val="00E84E53"/>
    <w:rsid w:val="00E85568"/>
    <w:rsid w:val="00E85A28"/>
    <w:rsid w:val="00E86984"/>
    <w:rsid w:val="00E91CC7"/>
    <w:rsid w:val="00E93797"/>
    <w:rsid w:val="00E952D8"/>
    <w:rsid w:val="00E96567"/>
    <w:rsid w:val="00EA1B28"/>
    <w:rsid w:val="00EA1C37"/>
    <w:rsid w:val="00EA2DEB"/>
    <w:rsid w:val="00EA340B"/>
    <w:rsid w:val="00EA6E1C"/>
    <w:rsid w:val="00EB00FD"/>
    <w:rsid w:val="00EB38C1"/>
    <w:rsid w:val="00EB3A8D"/>
    <w:rsid w:val="00EB5F0F"/>
    <w:rsid w:val="00EB6C59"/>
    <w:rsid w:val="00EC3B70"/>
    <w:rsid w:val="00EC4574"/>
    <w:rsid w:val="00EC654F"/>
    <w:rsid w:val="00EC6648"/>
    <w:rsid w:val="00EC6718"/>
    <w:rsid w:val="00EC6E83"/>
    <w:rsid w:val="00EC71CC"/>
    <w:rsid w:val="00EC7B62"/>
    <w:rsid w:val="00ED2145"/>
    <w:rsid w:val="00ED390B"/>
    <w:rsid w:val="00ED391F"/>
    <w:rsid w:val="00ED620D"/>
    <w:rsid w:val="00EE41E2"/>
    <w:rsid w:val="00EE5ADE"/>
    <w:rsid w:val="00EE771E"/>
    <w:rsid w:val="00EF0704"/>
    <w:rsid w:val="00EF1059"/>
    <w:rsid w:val="00EF1281"/>
    <w:rsid w:val="00EF65E5"/>
    <w:rsid w:val="00EF6F96"/>
    <w:rsid w:val="00F010F2"/>
    <w:rsid w:val="00F0485B"/>
    <w:rsid w:val="00F04B61"/>
    <w:rsid w:val="00F04B75"/>
    <w:rsid w:val="00F04F53"/>
    <w:rsid w:val="00F059E5"/>
    <w:rsid w:val="00F06461"/>
    <w:rsid w:val="00F1383F"/>
    <w:rsid w:val="00F13F1D"/>
    <w:rsid w:val="00F142FF"/>
    <w:rsid w:val="00F170E9"/>
    <w:rsid w:val="00F20937"/>
    <w:rsid w:val="00F23DCF"/>
    <w:rsid w:val="00F248E0"/>
    <w:rsid w:val="00F24BCC"/>
    <w:rsid w:val="00F25CC7"/>
    <w:rsid w:val="00F26DCA"/>
    <w:rsid w:val="00F274E9"/>
    <w:rsid w:val="00F2798D"/>
    <w:rsid w:val="00F27FF5"/>
    <w:rsid w:val="00F30758"/>
    <w:rsid w:val="00F34212"/>
    <w:rsid w:val="00F34358"/>
    <w:rsid w:val="00F35833"/>
    <w:rsid w:val="00F35BED"/>
    <w:rsid w:val="00F35D15"/>
    <w:rsid w:val="00F36788"/>
    <w:rsid w:val="00F416C1"/>
    <w:rsid w:val="00F41E0E"/>
    <w:rsid w:val="00F42625"/>
    <w:rsid w:val="00F431CD"/>
    <w:rsid w:val="00F43AD7"/>
    <w:rsid w:val="00F43FB1"/>
    <w:rsid w:val="00F45CD1"/>
    <w:rsid w:val="00F45F1E"/>
    <w:rsid w:val="00F4674E"/>
    <w:rsid w:val="00F47DF3"/>
    <w:rsid w:val="00F51000"/>
    <w:rsid w:val="00F5121E"/>
    <w:rsid w:val="00F535A7"/>
    <w:rsid w:val="00F548F0"/>
    <w:rsid w:val="00F55CF7"/>
    <w:rsid w:val="00F56546"/>
    <w:rsid w:val="00F6052C"/>
    <w:rsid w:val="00F605F4"/>
    <w:rsid w:val="00F637DF"/>
    <w:rsid w:val="00F638FA"/>
    <w:rsid w:val="00F63B71"/>
    <w:rsid w:val="00F64FA8"/>
    <w:rsid w:val="00F65C8D"/>
    <w:rsid w:val="00F6614A"/>
    <w:rsid w:val="00F66D15"/>
    <w:rsid w:val="00F72D4E"/>
    <w:rsid w:val="00F743BB"/>
    <w:rsid w:val="00F7482D"/>
    <w:rsid w:val="00F75315"/>
    <w:rsid w:val="00F75BA3"/>
    <w:rsid w:val="00F80C65"/>
    <w:rsid w:val="00F83DF0"/>
    <w:rsid w:val="00F84C23"/>
    <w:rsid w:val="00F866EE"/>
    <w:rsid w:val="00F9145A"/>
    <w:rsid w:val="00F92694"/>
    <w:rsid w:val="00F94337"/>
    <w:rsid w:val="00F94FFD"/>
    <w:rsid w:val="00F97E56"/>
    <w:rsid w:val="00FA08C5"/>
    <w:rsid w:val="00FA1920"/>
    <w:rsid w:val="00FA1D7C"/>
    <w:rsid w:val="00FA55CD"/>
    <w:rsid w:val="00FA629E"/>
    <w:rsid w:val="00FA6A7D"/>
    <w:rsid w:val="00FA7E3B"/>
    <w:rsid w:val="00FB2B79"/>
    <w:rsid w:val="00FB306B"/>
    <w:rsid w:val="00FB32BD"/>
    <w:rsid w:val="00FB3CFA"/>
    <w:rsid w:val="00FB4201"/>
    <w:rsid w:val="00FB51F9"/>
    <w:rsid w:val="00FB5471"/>
    <w:rsid w:val="00FB5F05"/>
    <w:rsid w:val="00FB67EA"/>
    <w:rsid w:val="00FB67FC"/>
    <w:rsid w:val="00FB7FE5"/>
    <w:rsid w:val="00FC0AB7"/>
    <w:rsid w:val="00FC27A6"/>
    <w:rsid w:val="00FC2E32"/>
    <w:rsid w:val="00FC4957"/>
    <w:rsid w:val="00FC54AD"/>
    <w:rsid w:val="00FC5C97"/>
    <w:rsid w:val="00FC75BF"/>
    <w:rsid w:val="00FD050C"/>
    <w:rsid w:val="00FD19C7"/>
    <w:rsid w:val="00FD685B"/>
    <w:rsid w:val="00FD707B"/>
    <w:rsid w:val="00FD709F"/>
    <w:rsid w:val="00FD7553"/>
    <w:rsid w:val="00FE095E"/>
    <w:rsid w:val="00FE2EA2"/>
    <w:rsid w:val="00FE3C76"/>
    <w:rsid w:val="00FE501B"/>
    <w:rsid w:val="00FE5F5B"/>
    <w:rsid w:val="00FE7BBB"/>
    <w:rsid w:val="00FF025E"/>
    <w:rsid w:val="00FF0EB7"/>
    <w:rsid w:val="00FF2174"/>
    <w:rsid w:val="00FF21A2"/>
    <w:rsid w:val="00FF26D9"/>
    <w:rsid w:val="00FF2F9C"/>
    <w:rsid w:val="00FF3A21"/>
    <w:rsid w:val="00FF44A3"/>
    <w:rsid w:val="00FF4694"/>
    <w:rsid w:val="00FF55FE"/>
    <w:rsid w:val="01E37392"/>
    <w:rsid w:val="025356DB"/>
    <w:rsid w:val="042C6BA8"/>
    <w:rsid w:val="05614AB7"/>
    <w:rsid w:val="05C36739"/>
    <w:rsid w:val="06765BFB"/>
    <w:rsid w:val="073D01F4"/>
    <w:rsid w:val="088C4B52"/>
    <w:rsid w:val="08EB1F0B"/>
    <w:rsid w:val="092165AA"/>
    <w:rsid w:val="0B9707A9"/>
    <w:rsid w:val="0BDC2823"/>
    <w:rsid w:val="0DB72F48"/>
    <w:rsid w:val="0E2A3F72"/>
    <w:rsid w:val="0E7F1771"/>
    <w:rsid w:val="10154655"/>
    <w:rsid w:val="12E0180D"/>
    <w:rsid w:val="1658306E"/>
    <w:rsid w:val="17EB4063"/>
    <w:rsid w:val="1A49772C"/>
    <w:rsid w:val="1AD25C8E"/>
    <w:rsid w:val="1C7C6396"/>
    <w:rsid w:val="2036185A"/>
    <w:rsid w:val="21FA50F6"/>
    <w:rsid w:val="229B4E45"/>
    <w:rsid w:val="243B1B6E"/>
    <w:rsid w:val="25167D40"/>
    <w:rsid w:val="25297271"/>
    <w:rsid w:val="25847B42"/>
    <w:rsid w:val="267015DB"/>
    <w:rsid w:val="277533BC"/>
    <w:rsid w:val="28464C4C"/>
    <w:rsid w:val="28F344B5"/>
    <w:rsid w:val="29932C02"/>
    <w:rsid w:val="2A204757"/>
    <w:rsid w:val="2EA56684"/>
    <w:rsid w:val="2F6F44B0"/>
    <w:rsid w:val="322A7772"/>
    <w:rsid w:val="32992604"/>
    <w:rsid w:val="32AD3ECF"/>
    <w:rsid w:val="34740D36"/>
    <w:rsid w:val="355F2337"/>
    <w:rsid w:val="36840506"/>
    <w:rsid w:val="36C9106D"/>
    <w:rsid w:val="37B438A1"/>
    <w:rsid w:val="38AA1EA3"/>
    <w:rsid w:val="38E205A7"/>
    <w:rsid w:val="38E6240F"/>
    <w:rsid w:val="39936860"/>
    <w:rsid w:val="39DF605E"/>
    <w:rsid w:val="3A336CFA"/>
    <w:rsid w:val="3A507EC1"/>
    <w:rsid w:val="3C787890"/>
    <w:rsid w:val="3C8767F1"/>
    <w:rsid w:val="3DC02AAD"/>
    <w:rsid w:val="3E8E2202"/>
    <w:rsid w:val="3F3F1ECD"/>
    <w:rsid w:val="3FB775A9"/>
    <w:rsid w:val="40113F28"/>
    <w:rsid w:val="40E57FA3"/>
    <w:rsid w:val="417F3849"/>
    <w:rsid w:val="419C4DB5"/>
    <w:rsid w:val="42EA565D"/>
    <w:rsid w:val="43155F75"/>
    <w:rsid w:val="43C356F3"/>
    <w:rsid w:val="457E4167"/>
    <w:rsid w:val="45DD0ED0"/>
    <w:rsid w:val="46FA7B99"/>
    <w:rsid w:val="48727304"/>
    <w:rsid w:val="495F6E88"/>
    <w:rsid w:val="52571226"/>
    <w:rsid w:val="52CA6B4B"/>
    <w:rsid w:val="541A3FE8"/>
    <w:rsid w:val="59317ADD"/>
    <w:rsid w:val="5983226A"/>
    <w:rsid w:val="5CFF417A"/>
    <w:rsid w:val="5D196ECF"/>
    <w:rsid w:val="5FC10DAE"/>
    <w:rsid w:val="60A03BDA"/>
    <w:rsid w:val="62353565"/>
    <w:rsid w:val="65B5232E"/>
    <w:rsid w:val="68231BC6"/>
    <w:rsid w:val="69065757"/>
    <w:rsid w:val="6AC500AA"/>
    <w:rsid w:val="6AFD64E2"/>
    <w:rsid w:val="6B5A1AF9"/>
    <w:rsid w:val="6BBC549D"/>
    <w:rsid w:val="6C091116"/>
    <w:rsid w:val="6C587196"/>
    <w:rsid w:val="6C6768A7"/>
    <w:rsid w:val="6D6D2421"/>
    <w:rsid w:val="71EA3BCA"/>
    <w:rsid w:val="722D6C46"/>
    <w:rsid w:val="747B05ED"/>
    <w:rsid w:val="764D1CB4"/>
    <w:rsid w:val="7772073E"/>
    <w:rsid w:val="77DA0776"/>
    <w:rsid w:val="78E170EA"/>
    <w:rsid w:val="7AD429C0"/>
    <w:rsid w:val="7DE03672"/>
    <w:rsid w:val="7F305410"/>
    <w:rsid w:val="7F4C2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6" w:lineRule="auto"/>
      <w:outlineLvl w:val="0"/>
    </w:pPr>
    <w:rPr>
      <w:b/>
      <w:bCs/>
      <w:kern w:val="44"/>
      <w:sz w:val="44"/>
      <w:szCs w:val="4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pPr>
    <w:rPr>
      <w:szCs w:val="20"/>
    </w:rPr>
  </w:style>
  <w:style w:type="paragraph" w:styleId="4">
    <w:name w:val="annotation text"/>
    <w:basedOn w:val="1"/>
    <w:link w:val="28"/>
    <w:semiHidden/>
    <w:unhideWhenUsed/>
    <w:qFormat/>
    <w:uiPriority w:val="99"/>
    <w:pPr>
      <w:jc w:val="left"/>
    </w:pPr>
  </w:style>
  <w:style w:type="paragraph" w:styleId="5">
    <w:name w:val="Body Text"/>
    <w:basedOn w:val="1"/>
    <w:qFormat/>
    <w:uiPriority w:val="1"/>
    <w:rPr>
      <w:rFonts w:ascii="仿宋" w:hAnsi="仿宋" w:eastAsia="仿宋" w:cs="仿宋"/>
      <w:sz w:val="32"/>
      <w:szCs w:val="32"/>
      <w:lang w:val="zh-CN" w:bidi="zh-CN"/>
    </w:rPr>
  </w:style>
  <w:style w:type="paragraph" w:styleId="6">
    <w:name w:val="toc 3"/>
    <w:basedOn w:val="1"/>
    <w:next w:val="1"/>
    <w:unhideWhenUsed/>
    <w:qFormat/>
    <w:uiPriority w:val="39"/>
    <w:pPr>
      <w:ind w:left="840" w:leftChars="400"/>
    </w:pPr>
  </w:style>
  <w:style w:type="paragraph" w:styleId="7">
    <w:name w:val="Plain Text"/>
    <w:basedOn w:val="1"/>
    <w:link w:val="35"/>
    <w:semiHidden/>
    <w:unhideWhenUsed/>
    <w:qFormat/>
    <w:uiPriority w:val="99"/>
    <w:rPr>
      <w:rFonts w:hAnsi="Courier New" w:cs="Courier New" w:asciiTheme="minorEastAsia"/>
    </w:rPr>
  </w:style>
  <w:style w:type="paragraph" w:styleId="8">
    <w:name w:val="Balloon Text"/>
    <w:basedOn w:val="1"/>
    <w:link w:val="26"/>
    <w:semiHidden/>
    <w:unhideWhenUsed/>
    <w:qFormat/>
    <w:uiPriority w:val="99"/>
    <w:rPr>
      <w:sz w:val="18"/>
      <w:szCs w:val="18"/>
    </w:rPr>
  </w:style>
  <w:style w:type="paragraph" w:styleId="9">
    <w:name w:val="footer"/>
    <w:basedOn w:val="1"/>
    <w:link w:val="25"/>
    <w:unhideWhenUsed/>
    <w:qFormat/>
    <w:uiPriority w:val="99"/>
    <w:pPr>
      <w:tabs>
        <w:tab w:val="center" w:pos="4153"/>
        <w:tab w:val="right" w:pos="8306"/>
      </w:tabs>
      <w:snapToGrid w:val="0"/>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27"/>
    <w:semiHidden/>
    <w:unhideWhenUsed/>
    <w:qFormat/>
    <w:uiPriority w:val="99"/>
    <w:pPr>
      <w:snapToGrid w:val="0"/>
      <w:jc w:val="left"/>
    </w:pPr>
    <w:rPr>
      <w:sz w:val="18"/>
      <w:szCs w:val="18"/>
    </w:rPr>
  </w:style>
  <w:style w:type="paragraph" w:styleId="13">
    <w:name w:val="toc 2"/>
    <w:basedOn w:val="1"/>
    <w:next w:val="1"/>
    <w:unhideWhenUsed/>
    <w:qFormat/>
    <w:uiPriority w:val="39"/>
    <w:pPr>
      <w:tabs>
        <w:tab w:val="right" w:leader="dot" w:pos="8296"/>
      </w:tabs>
      <w:spacing w:line="520" w:lineRule="exact"/>
      <w:ind w:left="420" w:leftChars="200"/>
    </w:pPr>
    <w:rPr>
      <w:rFonts w:ascii="Times New Roman" w:hAnsi="Times New Roman" w:eastAsia="楷体_GB2312" w:cs="Times New Roman"/>
      <w:b/>
      <w:bCs/>
      <w:sz w:val="30"/>
      <w:szCs w:val="30"/>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4"/>
    <w:next w:val="4"/>
    <w:link w:val="29"/>
    <w:semiHidden/>
    <w:unhideWhenUsed/>
    <w:qFormat/>
    <w:uiPriority w:val="99"/>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Emphasis"/>
    <w:basedOn w:val="18"/>
    <w:qFormat/>
    <w:uiPriority w:val="20"/>
    <w:rPr>
      <w:i/>
    </w:rPr>
  </w:style>
  <w:style w:type="character" w:styleId="21">
    <w:name w:val="Hyperlink"/>
    <w:basedOn w:val="18"/>
    <w:unhideWhenUsed/>
    <w:qFormat/>
    <w:uiPriority w:val="99"/>
    <w:rPr>
      <w:color w:val="0000FF"/>
      <w:u w:val="single"/>
    </w:rPr>
  </w:style>
  <w:style w:type="character" w:styleId="22">
    <w:name w:val="annotation reference"/>
    <w:basedOn w:val="18"/>
    <w:semiHidden/>
    <w:unhideWhenUsed/>
    <w:qFormat/>
    <w:uiPriority w:val="99"/>
    <w:rPr>
      <w:sz w:val="21"/>
      <w:szCs w:val="21"/>
    </w:rPr>
  </w:style>
  <w:style w:type="character" w:styleId="23">
    <w:name w:val="footnote reference"/>
    <w:basedOn w:val="18"/>
    <w:semiHidden/>
    <w:unhideWhenUsed/>
    <w:qFormat/>
    <w:uiPriority w:val="99"/>
    <w:rPr>
      <w:vertAlign w:val="superscript"/>
    </w:rPr>
  </w:style>
  <w:style w:type="character" w:customStyle="1" w:styleId="24">
    <w:name w:val="页眉 字符"/>
    <w:basedOn w:val="18"/>
    <w:link w:val="10"/>
    <w:qFormat/>
    <w:uiPriority w:val="99"/>
    <w:rPr>
      <w:sz w:val="18"/>
      <w:szCs w:val="18"/>
    </w:rPr>
  </w:style>
  <w:style w:type="character" w:customStyle="1" w:styleId="25">
    <w:name w:val="页脚 字符"/>
    <w:basedOn w:val="18"/>
    <w:link w:val="9"/>
    <w:qFormat/>
    <w:uiPriority w:val="99"/>
    <w:rPr>
      <w:sz w:val="18"/>
      <w:szCs w:val="18"/>
    </w:rPr>
  </w:style>
  <w:style w:type="character" w:customStyle="1" w:styleId="26">
    <w:name w:val="批注框文本 字符"/>
    <w:basedOn w:val="18"/>
    <w:link w:val="8"/>
    <w:semiHidden/>
    <w:qFormat/>
    <w:uiPriority w:val="99"/>
    <w:rPr>
      <w:sz w:val="18"/>
      <w:szCs w:val="18"/>
    </w:rPr>
  </w:style>
  <w:style w:type="character" w:customStyle="1" w:styleId="27">
    <w:name w:val="脚注文本 字符"/>
    <w:basedOn w:val="18"/>
    <w:link w:val="12"/>
    <w:semiHidden/>
    <w:qFormat/>
    <w:uiPriority w:val="99"/>
    <w:rPr>
      <w:sz w:val="18"/>
      <w:szCs w:val="18"/>
    </w:rPr>
  </w:style>
  <w:style w:type="character" w:customStyle="1" w:styleId="28">
    <w:name w:val="批注文字 字符"/>
    <w:basedOn w:val="18"/>
    <w:link w:val="4"/>
    <w:semiHidden/>
    <w:qFormat/>
    <w:uiPriority w:val="99"/>
  </w:style>
  <w:style w:type="character" w:customStyle="1" w:styleId="29">
    <w:name w:val="批注主题 字符"/>
    <w:basedOn w:val="28"/>
    <w:link w:val="15"/>
    <w:semiHidden/>
    <w:qFormat/>
    <w:uiPriority w:val="99"/>
    <w:rPr>
      <w:b/>
      <w:bCs/>
    </w:rPr>
  </w:style>
  <w:style w:type="character" w:customStyle="1" w:styleId="30">
    <w:name w:val="标题 1 字符"/>
    <w:basedOn w:val="18"/>
    <w:link w:val="2"/>
    <w:qFormat/>
    <w:uiPriority w:val="9"/>
    <w:rPr>
      <w:b/>
      <w:bCs/>
      <w:kern w:val="44"/>
      <w:sz w:val="44"/>
      <w:szCs w:val="44"/>
    </w:rPr>
  </w:style>
  <w:style w:type="paragraph" w:customStyle="1" w:styleId="31">
    <w:name w:val="图灵3级标题"/>
    <w:next w:val="32"/>
    <w:link w:val="33"/>
    <w:qFormat/>
    <w:uiPriority w:val="0"/>
    <w:pPr>
      <w:spacing w:line="600" w:lineRule="exact"/>
      <w:ind w:firstLine="200" w:firstLineChars="200"/>
      <w:outlineLvl w:val="2"/>
    </w:pPr>
    <w:rPr>
      <w:rFonts w:ascii="楷体_GB2312" w:hAnsi="Times New Roman" w:eastAsia="仿宋_GB2312" w:cs="Times New Roman"/>
      <w:b/>
      <w:bCs/>
      <w:kern w:val="2"/>
      <w:sz w:val="32"/>
      <w:szCs w:val="32"/>
      <w:lang w:val="zh-CN" w:eastAsia="zh-CN" w:bidi="ar-SA"/>
    </w:rPr>
  </w:style>
  <w:style w:type="paragraph" w:customStyle="1" w:styleId="32">
    <w:name w:val="图灵正文"/>
    <w:basedOn w:val="7"/>
    <w:link w:val="34"/>
    <w:qFormat/>
    <w:uiPriority w:val="0"/>
    <w:pPr>
      <w:spacing w:line="600" w:lineRule="exact"/>
      <w:ind w:firstLine="200" w:firstLineChars="200"/>
    </w:pPr>
    <w:rPr>
      <w:rFonts w:ascii="仿宋_GB2312" w:hAnsi="宋体" w:eastAsia="仿宋_GB2312" w:cs="宋体"/>
      <w:sz w:val="32"/>
      <w:szCs w:val="32"/>
    </w:rPr>
  </w:style>
  <w:style w:type="character" w:customStyle="1" w:styleId="33">
    <w:name w:val="图灵3级标题 字符"/>
    <w:basedOn w:val="18"/>
    <w:link w:val="31"/>
    <w:qFormat/>
    <w:uiPriority w:val="0"/>
    <w:rPr>
      <w:rFonts w:ascii="楷体_GB2312" w:hAnsi="Times New Roman" w:eastAsia="仿宋_GB2312" w:cs="Times New Roman"/>
      <w:b/>
      <w:bCs/>
      <w:sz w:val="32"/>
      <w:szCs w:val="32"/>
      <w:lang w:val="zh-CN"/>
    </w:rPr>
  </w:style>
  <w:style w:type="character" w:customStyle="1" w:styleId="34">
    <w:name w:val="图灵正文 字符"/>
    <w:basedOn w:val="18"/>
    <w:link w:val="32"/>
    <w:qFormat/>
    <w:uiPriority w:val="0"/>
    <w:rPr>
      <w:rFonts w:ascii="仿宋_GB2312" w:hAnsi="宋体" w:eastAsia="仿宋_GB2312" w:cs="宋体"/>
      <w:sz w:val="32"/>
      <w:szCs w:val="32"/>
    </w:rPr>
  </w:style>
  <w:style w:type="character" w:customStyle="1" w:styleId="35">
    <w:name w:val="纯文本 字符"/>
    <w:basedOn w:val="18"/>
    <w:link w:val="7"/>
    <w:semiHidden/>
    <w:qFormat/>
    <w:uiPriority w:val="99"/>
    <w:rPr>
      <w:rFonts w:hAnsi="Courier New" w:cs="Courier New" w:asciiTheme="minorEastAsia"/>
    </w:rPr>
  </w:style>
  <w:style w:type="paragraph" w:customStyle="1" w:styleId="36">
    <w:name w:val="图灵2级标题"/>
    <w:next w:val="31"/>
    <w:link w:val="37"/>
    <w:qFormat/>
    <w:uiPriority w:val="0"/>
    <w:pPr>
      <w:spacing w:line="600" w:lineRule="exact"/>
      <w:ind w:firstLine="200" w:firstLineChars="200"/>
      <w:outlineLvl w:val="1"/>
    </w:pPr>
    <w:rPr>
      <w:rFonts w:ascii="楷体_GB2312" w:hAnsi="Times New Roman" w:eastAsia="楷体_GB2312" w:cs="Times New Roman"/>
      <w:bCs/>
      <w:kern w:val="2"/>
      <w:sz w:val="32"/>
      <w:szCs w:val="32"/>
      <w:lang w:val="zh-CN" w:eastAsia="zh-CN" w:bidi="ar-SA"/>
    </w:rPr>
  </w:style>
  <w:style w:type="character" w:customStyle="1" w:styleId="37">
    <w:name w:val="图灵2级标题 字符"/>
    <w:basedOn w:val="18"/>
    <w:link w:val="36"/>
    <w:qFormat/>
    <w:uiPriority w:val="0"/>
    <w:rPr>
      <w:rFonts w:ascii="楷体_GB2312" w:hAnsi="Times New Roman" w:eastAsia="楷体_GB2312" w:cs="Times New Roman"/>
      <w:bCs/>
      <w:sz w:val="32"/>
      <w:szCs w:val="32"/>
      <w:lang w:val="zh-CN"/>
    </w:rPr>
  </w:style>
  <w:style w:type="paragraph" w:customStyle="1" w:styleId="3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3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3.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BE0F3-1337-4EDC-AF82-121E5F9E93C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24835</Words>
  <Characters>25601</Characters>
  <Lines>199</Lines>
  <Paragraphs>56</Paragraphs>
  <TotalTime>1577</TotalTime>
  <ScaleCrop>false</ScaleCrop>
  <LinksUpToDate>false</LinksUpToDate>
  <CharactersWithSpaces>25779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2020-11-03T01:02:00Z</dcterms:created>
  <dc:creator>邓 强</dc:creator>
  <cp:lastModifiedBy>小菜锅（章峻侨）</cp:lastModifiedBy>
  <cp:lastPrinted>2020-08-31T11:18:00Z</cp:lastPrinted>
  <dcterms:modified xsi:type="dcterms:W3CDTF">2023-05-04T00:31:49Z</dcterms:modified>
  <cp:revision>1097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519A5E31636A423FB0B837D2EECC2AB9</vt:lpwstr>
  </property>
</Properties>
</file>